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A4" w:rsidRDefault="004C0767" w:rsidP="00614C61">
      <w:pPr>
        <w:rPr>
          <w:rFonts w:ascii="ＭＳ ゴシック" w:eastAsia="ＭＳ ゴシック" w:hAnsi="ＭＳ ゴシック"/>
          <w:sz w:val="28"/>
        </w:rPr>
      </w:pPr>
      <w:r>
        <w:rPr>
          <w:rFonts w:ascii="ＭＳ ゴシック" w:eastAsia="ＭＳ ゴシック" w:hAnsi="ＭＳ ゴシック" w:hint="eastAsia"/>
          <w:sz w:val="28"/>
        </w:rPr>
        <w:t>製品別比較表（標準品との比較）</w:t>
      </w:r>
    </w:p>
    <w:tbl>
      <w:tblPr>
        <w:tblW w:w="1053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601"/>
        <w:gridCol w:w="1294"/>
        <w:gridCol w:w="1448"/>
        <w:gridCol w:w="1448"/>
        <w:gridCol w:w="2897"/>
      </w:tblGrid>
      <w:tr w:rsidR="002245A4" w:rsidTr="002B5D81">
        <w:trPr>
          <w:trHeight w:val="340"/>
        </w:trPr>
        <w:tc>
          <w:tcPr>
            <w:tcW w:w="1844" w:type="dxa"/>
            <w:tcBorders>
              <w:top w:val="single" w:sz="6" w:space="0" w:color="auto"/>
              <w:left w:val="single" w:sz="6" w:space="0" w:color="auto"/>
              <w:bottom w:val="single" w:sz="6" w:space="0" w:color="auto"/>
              <w:right w:val="single" w:sz="6" w:space="0" w:color="auto"/>
            </w:tcBorders>
            <w:vAlign w:val="center"/>
          </w:tcPr>
          <w:p w:rsidR="002245A4" w:rsidRDefault="002245A4" w:rsidP="00934C6A">
            <w:pPr>
              <w:spacing w:line="240" w:lineRule="exact"/>
              <w:jc w:val="center"/>
              <w:rPr>
                <w:rFonts w:ascii="ＭＳ ゴシック" w:eastAsia="ＭＳ ゴシック" w:hAnsi="ＭＳ ゴシック"/>
                <w:sz w:val="24"/>
              </w:rPr>
            </w:pPr>
          </w:p>
        </w:tc>
        <w:tc>
          <w:tcPr>
            <w:tcW w:w="4343" w:type="dxa"/>
            <w:gridSpan w:val="3"/>
            <w:tcBorders>
              <w:top w:val="single" w:sz="6" w:space="0" w:color="auto"/>
              <w:left w:val="single" w:sz="6" w:space="0" w:color="auto"/>
              <w:bottom w:val="single" w:sz="6" w:space="0" w:color="auto"/>
            </w:tcBorders>
            <w:vAlign w:val="center"/>
          </w:tcPr>
          <w:p w:rsidR="002245A4" w:rsidRDefault="002245A4" w:rsidP="00934C6A">
            <w:pPr>
              <w:spacing w:line="240" w:lineRule="exact"/>
              <w:jc w:val="center"/>
              <w:rPr>
                <w:rFonts w:ascii="ＭＳ ゴシック" w:eastAsia="ＭＳ ゴシック" w:hAnsi="ＭＳ ゴシック"/>
              </w:rPr>
            </w:pPr>
            <w:r>
              <w:rPr>
                <w:rFonts w:ascii="ＭＳ ゴシック" w:eastAsia="ＭＳ ゴシック" w:hAnsi="ＭＳ ゴシック" w:hint="eastAsia"/>
              </w:rPr>
              <w:t>後　　発　　品</w:t>
            </w:r>
          </w:p>
        </w:tc>
        <w:tc>
          <w:tcPr>
            <w:tcW w:w="4345" w:type="dxa"/>
            <w:gridSpan w:val="2"/>
            <w:tcBorders>
              <w:top w:val="single" w:sz="6" w:space="0" w:color="auto"/>
              <w:bottom w:val="single" w:sz="6" w:space="0" w:color="auto"/>
              <w:right w:val="single" w:sz="6" w:space="0" w:color="auto"/>
            </w:tcBorders>
            <w:vAlign w:val="center"/>
          </w:tcPr>
          <w:p w:rsidR="002245A4" w:rsidRDefault="006B5083" w:rsidP="00934C6A">
            <w:pPr>
              <w:spacing w:line="240" w:lineRule="exact"/>
              <w:jc w:val="center"/>
              <w:rPr>
                <w:rFonts w:ascii="ＭＳ ゴシック" w:eastAsia="ＭＳ ゴシック" w:hAnsi="ＭＳ ゴシック"/>
              </w:rPr>
            </w:pPr>
            <w:r>
              <w:rPr>
                <w:rFonts w:ascii="ＭＳ ゴシック" w:eastAsia="ＭＳ ゴシック" w:hAnsi="ＭＳ ゴシック" w:hint="eastAsia"/>
              </w:rPr>
              <w:t>標　　準</w:t>
            </w:r>
            <w:r w:rsidR="002245A4">
              <w:rPr>
                <w:rFonts w:ascii="ＭＳ ゴシック" w:eastAsia="ＭＳ ゴシック" w:hAnsi="ＭＳ ゴシック" w:hint="eastAsia"/>
              </w:rPr>
              <w:t xml:space="preserve">　　品</w:t>
            </w:r>
          </w:p>
        </w:tc>
      </w:tr>
      <w:tr w:rsidR="002245A4" w:rsidTr="002B5D81">
        <w:trPr>
          <w:trHeight w:val="291"/>
        </w:trPr>
        <w:tc>
          <w:tcPr>
            <w:tcW w:w="1844" w:type="dxa"/>
            <w:tcBorders>
              <w:left w:val="single" w:sz="6" w:space="0" w:color="auto"/>
              <w:right w:val="single" w:sz="6" w:space="0" w:color="auto"/>
            </w:tcBorders>
            <w:vAlign w:val="center"/>
          </w:tcPr>
          <w:p w:rsidR="002245A4" w:rsidRDefault="002F3B87"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製剤</w:t>
            </w:r>
            <w:r w:rsidR="002245A4">
              <w:rPr>
                <w:rFonts w:ascii="ＭＳ ゴシック" w:eastAsia="ＭＳ ゴシック" w:hAnsi="ＭＳ ゴシック" w:hint="eastAsia"/>
              </w:rPr>
              <w:t>名</w:t>
            </w:r>
          </w:p>
        </w:tc>
        <w:tc>
          <w:tcPr>
            <w:tcW w:w="4343" w:type="dxa"/>
            <w:gridSpan w:val="3"/>
            <w:tcBorders>
              <w:left w:val="single" w:sz="6" w:space="0" w:color="auto"/>
            </w:tcBorders>
            <w:vAlign w:val="center"/>
          </w:tcPr>
          <w:p w:rsidR="00B1104E" w:rsidRPr="008E13B9" w:rsidRDefault="008E13B9" w:rsidP="008E13B9">
            <w:pPr>
              <w:spacing w:line="240" w:lineRule="exact"/>
              <w:jc w:val="center"/>
              <w:rPr>
                <w:rFonts w:ascii="ＭＳ ゴシック" w:eastAsia="ＭＳ ゴシック" w:hAnsi="ＭＳ 明朝"/>
                <w:b/>
                <w:bCs/>
              </w:rPr>
            </w:pPr>
            <w:r>
              <w:rPr>
                <w:rFonts w:ascii="ＭＳ ゴシック" w:eastAsia="ＭＳ ゴシック" w:hAnsi="ＭＳ 明朝" w:hint="eastAsia"/>
                <w:b/>
                <w:bCs/>
              </w:rPr>
              <w:t>ブロムフェナクNa点眼液0.1</w:t>
            </w:r>
            <w:r w:rsidR="002245A4">
              <w:rPr>
                <w:rFonts w:ascii="ＭＳ ゴシック" w:eastAsia="ＭＳ ゴシック" w:hAnsi="ＭＳ 明朝" w:hint="eastAsia"/>
                <w:b/>
                <w:bCs/>
              </w:rPr>
              <w:t>％</w:t>
            </w:r>
            <w:r w:rsidR="00426660">
              <w:rPr>
                <w:rFonts w:ascii="ＭＳ ゴシック" w:eastAsia="ＭＳ ゴシック" w:hAnsi="ＭＳ 明朝" w:hint="eastAsia"/>
                <w:b/>
                <w:bCs/>
              </w:rPr>
              <w:t>「日新」</w:t>
            </w:r>
          </w:p>
        </w:tc>
        <w:tc>
          <w:tcPr>
            <w:tcW w:w="4345" w:type="dxa"/>
            <w:gridSpan w:val="2"/>
            <w:tcBorders>
              <w:right w:val="single" w:sz="6" w:space="0" w:color="auto"/>
            </w:tcBorders>
            <w:vAlign w:val="center"/>
          </w:tcPr>
          <w:p w:rsidR="00B1104E" w:rsidRPr="008E13B9" w:rsidRDefault="00715636" w:rsidP="00715636">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ブロナック点眼液0.1％</w:t>
            </w:r>
          </w:p>
        </w:tc>
      </w:tr>
      <w:tr w:rsidR="006B5083" w:rsidTr="002B5D81">
        <w:trPr>
          <w:trHeight w:val="325"/>
        </w:trPr>
        <w:tc>
          <w:tcPr>
            <w:tcW w:w="1844" w:type="dxa"/>
            <w:tcBorders>
              <w:top w:val="single" w:sz="4" w:space="0" w:color="auto"/>
              <w:left w:val="single" w:sz="6" w:space="0" w:color="auto"/>
              <w:right w:val="single" w:sz="6" w:space="0" w:color="auto"/>
            </w:tcBorders>
            <w:vAlign w:val="center"/>
          </w:tcPr>
          <w:p w:rsidR="006B5083" w:rsidRDefault="006B5083" w:rsidP="00D4328B">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会社名</w:t>
            </w:r>
          </w:p>
        </w:tc>
        <w:tc>
          <w:tcPr>
            <w:tcW w:w="4343" w:type="dxa"/>
            <w:gridSpan w:val="3"/>
            <w:tcBorders>
              <w:top w:val="single" w:sz="4" w:space="0" w:color="auto"/>
              <w:left w:val="single" w:sz="6" w:space="0" w:color="auto"/>
            </w:tcBorders>
            <w:vAlign w:val="center"/>
          </w:tcPr>
          <w:p w:rsidR="00B6142A" w:rsidRDefault="007607E4" w:rsidP="00D4328B">
            <w:pPr>
              <w:spacing w:line="240" w:lineRule="exact"/>
              <w:jc w:val="center"/>
              <w:rPr>
                <w:rFonts w:ascii="ＭＳ 明朝" w:hAnsi="ＭＳ 明朝"/>
                <w:spacing w:val="28"/>
                <w:kern w:val="0"/>
                <w:sz w:val="20"/>
              </w:rPr>
            </w:pPr>
            <w:r>
              <w:rPr>
                <w:rFonts w:ascii="ＭＳ 明朝" w:hAnsi="ＭＳ 明朝" w:hint="eastAsia"/>
                <w:spacing w:val="28"/>
                <w:kern w:val="0"/>
                <w:sz w:val="20"/>
              </w:rPr>
              <w:t>発売</w:t>
            </w:r>
            <w:r w:rsidR="00B6142A">
              <w:rPr>
                <w:rFonts w:ascii="ＭＳ 明朝" w:hAnsi="ＭＳ 明朝" w:hint="eastAsia"/>
                <w:spacing w:val="28"/>
                <w:kern w:val="0"/>
                <w:sz w:val="20"/>
              </w:rPr>
              <w:t>元：テイカ製薬株式会社</w:t>
            </w:r>
          </w:p>
          <w:p w:rsidR="006B5083" w:rsidRDefault="00B6142A" w:rsidP="00D4328B">
            <w:pPr>
              <w:spacing w:line="240" w:lineRule="exact"/>
              <w:jc w:val="center"/>
              <w:rPr>
                <w:rFonts w:ascii="ＭＳ 明朝" w:hAnsi="ＭＳ 明朝"/>
                <w:spacing w:val="28"/>
                <w:sz w:val="20"/>
              </w:rPr>
            </w:pPr>
            <w:r>
              <w:rPr>
                <w:rFonts w:ascii="ＭＳ 明朝" w:hAnsi="ＭＳ 明朝" w:hint="eastAsia"/>
                <w:spacing w:val="28"/>
                <w:kern w:val="0"/>
                <w:sz w:val="20"/>
              </w:rPr>
              <w:t>製造販売元：</w:t>
            </w:r>
            <w:r w:rsidR="006B5083">
              <w:rPr>
                <w:rFonts w:ascii="ＭＳ 明朝" w:hAnsi="ＭＳ 明朝" w:hint="eastAsia"/>
                <w:spacing w:val="28"/>
                <w:kern w:val="0"/>
                <w:sz w:val="20"/>
              </w:rPr>
              <w:t>日新製薬株式会社</w:t>
            </w:r>
          </w:p>
        </w:tc>
        <w:tc>
          <w:tcPr>
            <w:tcW w:w="4345" w:type="dxa"/>
            <w:gridSpan w:val="2"/>
            <w:tcBorders>
              <w:top w:val="single" w:sz="4" w:space="0" w:color="auto"/>
              <w:right w:val="single" w:sz="6" w:space="0" w:color="auto"/>
            </w:tcBorders>
            <w:vAlign w:val="center"/>
          </w:tcPr>
          <w:p w:rsidR="006B5083" w:rsidRDefault="006B5083" w:rsidP="00D4328B">
            <w:pPr>
              <w:spacing w:line="240" w:lineRule="exact"/>
              <w:jc w:val="center"/>
              <w:rPr>
                <w:rFonts w:ascii="ＭＳ 明朝" w:hAnsi="ＭＳ 明朝"/>
                <w:spacing w:val="14"/>
                <w:sz w:val="20"/>
              </w:rPr>
            </w:pP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薬価</w:t>
            </w:r>
          </w:p>
        </w:tc>
        <w:tc>
          <w:tcPr>
            <w:tcW w:w="4343" w:type="dxa"/>
            <w:gridSpan w:val="3"/>
            <w:tcBorders>
              <w:left w:val="single" w:sz="6" w:space="0" w:color="auto"/>
            </w:tcBorders>
            <w:vAlign w:val="center"/>
          </w:tcPr>
          <w:p w:rsidR="002245A4" w:rsidRPr="00B0302D" w:rsidRDefault="007B3D0D" w:rsidP="007B3D0D">
            <w:pPr>
              <w:spacing w:line="240" w:lineRule="exact"/>
              <w:jc w:val="center"/>
              <w:rPr>
                <w:rFonts w:ascii="ＭＳ 明朝" w:hAnsi="ＭＳ 明朝"/>
                <w:sz w:val="20"/>
                <w:szCs w:val="20"/>
              </w:rPr>
            </w:pPr>
            <w:r>
              <w:rPr>
                <w:rFonts w:ascii="ＭＳ 明朝" w:hAnsi="ＭＳ 明朝" w:hint="eastAsia"/>
                <w:sz w:val="20"/>
                <w:szCs w:val="20"/>
              </w:rPr>
              <w:t>30</w:t>
            </w:r>
            <w:r w:rsidR="007E474B" w:rsidRPr="00C65F6D">
              <w:rPr>
                <w:rFonts w:ascii="ＭＳ 明朝" w:hAnsi="ＭＳ 明朝" w:hint="eastAsia"/>
                <w:sz w:val="20"/>
                <w:szCs w:val="20"/>
              </w:rPr>
              <w:t>.</w:t>
            </w:r>
            <w:r>
              <w:rPr>
                <w:rFonts w:ascii="ＭＳ 明朝" w:hAnsi="ＭＳ 明朝" w:hint="eastAsia"/>
                <w:sz w:val="20"/>
                <w:szCs w:val="20"/>
              </w:rPr>
              <w:t>8</w:t>
            </w:r>
            <w:r w:rsidR="00E578D0" w:rsidRPr="00C65F6D">
              <w:rPr>
                <w:rFonts w:ascii="ＭＳ 明朝" w:hAnsi="ＭＳ 明朝"/>
                <w:sz w:val="20"/>
                <w:szCs w:val="20"/>
              </w:rPr>
              <w:t>0</w:t>
            </w:r>
            <w:r w:rsidR="00475931">
              <w:rPr>
                <w:rFonts w:ascii="ＭＳ 明朝" w:hAnsi="ＭＳ 明朝" w:hint="eastAsia"/>
                <w:sz w:val="20"/>
                <w:szCs w:val="20"/>
              </w:rPr>
              <w:t>円</w:t>
            </w:r>
            <w:r w:rsidR="00475931" w:rsidRPr="00B0302D">
              <w:rPr>
                <w:rFonts w:ascii="ＭＳ 明朝" w:hAnsi="ＭＳ 明朝" w:hint="eastAsia"/>
                <w:sz w:val="20"/>
                <w:szCs w:val="20"/>
              </w:rPr>
              <w:t>／1mL</w:t>
            </w:r>
          </w:p>
        </w:tc>
        <w:tc>
          <w:tcPr>
            <w:tcW w:w="4345" w:type="dxa"/>
            <w:gridSpan w:val="2"/>
            <w:tcBorders>
              <w:right w:val="single" w:sz="6" w:space="0" w:color="auto"/>
            </w:tcBorders>
            <w:vAlign w:val="center"/>
          </w:tcPr>
          <w:p w:rsidR="002245A4" w:rsidRPr="00B0302D" w:rsidRDefault="00643B7F" w:rsidP="00215E3A">
            <w:pPr>
              <w:spacing w:line="240" w:lineRule="exact"/>
              <w:jc w:val="center"/>
              <w:rPr>
                <w:rFonts w:ascii="ＭＳ 明朝" w:hAnsi="ＭＳ 明朝"/>
                <w:sz w:val="20"/>
                <w:szCs w:val="20"/>
              </w:rPr>
            </w:pPr>
            <w:r w:rsidRPr="00C65F6D">
              <w:rPr>
                <w:rFonts w:ascii="ＭＳ 明朝" w:hAnsi="ＭＳ 明朝" w:hint="eastAsia"/>
                <w:sz w:val="20"/>
                <w:szCs w:val="20"/>
              </w:rPr>
              <w:t>6</w:t>
            </w:r>
            <w:r w:rsidR="00215E3A">
              <w:rPr>
                <w:rFonts w:ascii="ＭＳ 明朝" w:hAnsi="ＭＳ 明朝" w:hint="eastAsia"/>
                <w:sz w:val="20"/>
                <w:szCs w:val="20"/>
              </w:rPr>
              <w:t>4</w:t>
            </w:r>
            <w:r w:rsidR="007E474B" w:rsidRPr="00C65F6D">
              <w:rPr>
                <w:rFonts w:ascii="ＭＳ 明朝" w:hAnsi="ＭＳ 明朝" w:hint="eastAsia"/>
                <w:sz w:val="20"/>
                <w:szCs w:val="20"/>
              </w:rPr>
              <w:t>.</w:t>
            </w:r>
            <w:r w:rsidR="00215E3A">
              <w:rPr>
                <w:rFonts w:ascii="ＭＳ 明朝" w:hAnsi="ＭＳ 明朝" w:hint="eastAsia"/>
                <w:sz w:val="20"/>
                <w:szCs w:val="20"/>
              </w:rPr>
              <w:t>3</w:t>
            </w:r>
            <w:r w:rsidR="00382AAC" w:rsidRPr="00C65F6D">
              <w:rPr>
                <w:rFonts w:ascii="ＭＳ 明朝" w:hAnsi="ＭＳ 明朝" w:hint="eastAsia"/>
                <w:sz w:val="20"/>
                <w:szCs w:val="20"/>
              </w:rPr>
              <w:t>0</w:t>
            </w:r>
            <w:r w:rsidR="002245A4" w:rsidRPr="00B0302D">
              <w:rPr>
                <w:rFonts w:ascii="ＭＳ 明朝" w:hAnsi="ＭＳ 明朝" w:hint="eastAsia"/>
                <w:sz w:val="20"/>
                <w:szCs w:val="20"/>
              </w:rPr>
              <w:t>円／1mL</w:t>
            </w:r>
          </w:p>
        </w:tc>
      </w:tr>
      <w:tr w:rsidR="002245A4" w:rsidTr="002B5D81">
        <w:trPr>
          <w:trHeight w:val="340"/>
        </w:trPr>
        <w:tc>
          <w:tcPr>
            <w:tcW w:w="1844" w:type="dxa"/>
            <w:tcBorders>
              <w:left w:val="single" w:sz="6" w:space="0" w:color="auto"/>
              <w:right w:val="single" w:sz="6" w:space="0" w:color="auto"/>
            </w:tcBorders>
            <w:vAlign w:val="center"/>
          </w:tcPr>
          <w:p w:rsidR="002245A4" w:rsidRDefault="002F3B87" w:rsidP="002F3B87">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有効</w:t>
            </w:r>
            <w:r w:rsidR="002245A4">
              <w:rPr>
                <w:rFonts w:ascii="ＭＳ ゴシック" w:eastAsia="ＭＳ ゴシック" w:hAnsi="ＭＳ ゴシック" w:hint="eastAsia"/>
              </w:rPr>
              <w:t>成分</w:t>
            </w:r>
          </w:p>
        </w:tc>
        <w:tc>
          <w:tcPr>
            <w:tcW w:w="8688" w:type="dxa"/>
            <w:gridSpan w:val="5"/>
            <w:tcBorders>
              <w:left w:val="single" w:sz="6" w:space="0" w:color="auto"/>
              <w:right w:val="single" w:sz="6" w:space="0" w:color="auto"/>
            </w:tcBorders>
            <w:vAlign w:val="center"/>
          </w:tcPr>
          <w:p w:rsidR="002245A4" w:rsidRDefault="009B372C" w:rsidP="00934C6A">
            <w:pPr>
              <w:spacing w:line="240" w:lineRule="exact"/>
              <w:jc w:val="center"/>
              <w:rPr>
                <w:rFonts w:ascii="ＭＳ 明朝" w:hAnsi="ＭＳ 明朝"/>
                <w:sz w:val="20"/>
              </w:rPr>
            </w:pPr>
            <w:r>
              <w:rPr>
                <w:rFonts w:ascii="ＭＳ 明朝" w:hAnsi="ＭＳ 明朝" w:hint="eastAsia"/>
                <w:sz w:val="20"/>
              </w:rPr>
              <w:t>日本薬局方</w:t>
            </w:r>
            <w:r w:rsidR="00160864">
              <w:rPr>
                <w:rFonts w:ascii="ＭＳ 明朝" w:hAnsi="ＭＳ 明朝" w:hint="eastAsia"/>
                <w:sz w:val="20"/>
              </w:rPr>
              <w:t>ブロムフェナクナトリウム水和物</w:t>
            </w: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規格</w:t>
            </w:r>
          </w:p>
        </w:tc>
        <w:tc>
          <w:tcPr>
            <w:tcW w:w="8688" w:type="dxa"/>
            <w:gridSpan w:val="5"/>
            <w:tcBorders>
              <w:left w:val="single" w:sz="6" w:space="0" w:color="auto"/>
              <w:right w:val="single" w:sz="6" w:space="0" w:color="auto"/>
            </w:tcBorders>
            <w:vAlign w:val="center"/>
          </w:tcPr>
          <w:p w:rsidR="002245A4" w:rsidRDefault="002245A4" w:rsidP="00160864">
            <w:pPr>
              <w:spacing w:line="240" w:lineRule="exact"/>
              <w:jc w:val="center"/>
              <w:rPr>
                <w:rFonts w:ascii="ＭＳ 明朝" w:hAnsi="ＭＳ 明朝"/>
                <w:sz w:val="20"/>
              </w:rPr>
            </w:pPr>
            <w:r>
              <w:rPr>
                <w:rFonts w:ascii="ＭＳ 明朝" w:hAnsi="ＭＳ 明朝" w:hint="eastAsia"/>
                <w:sz w:val="20"/>
              </w:rPr>
              <w:t>1mL</w:t>
            </w:r>
            <w:r>
              <w:rPr>
                <w:rFonts w:ascii="ＭＳ 明朝" w:hAnsi="ＭＳ 明朝"/>
                <w:sz w:val="20"/>
              </w:rPr>
              <w:t>中に</w:t>
            </w:r>
            <w:r w:rsidR="00160864">
              <w:rPr>
                <w:rFonts w:ascii="ＭＳ 明朝" w:hAnsi="ＭＳ 明朝" w:hint="eastAsia"/>
                <w:sz w:val="20"/>
              </w:rPr>
              <w:t>ブロムフェナクナトリウム水和物1</w:t>
            </w:r>
            <w:r>
              <w:rPr>
                <w:rFonts w:ascii="ＭＳ 明朝" w:hAnsi="ＭＳ 明朝"/>
                <w:sz w:val="20"/>
              </w:rPr>
              <w:t>mg</w:t>
            </w:r>
            <w:r>
              <w:rPr>
                <w:rFonts w:ascii="ＭＳ 明朝" w:hAnsi="ＭＳ 明朝" w:hint="eastAsia"/>
                <w:sz w:val="20"/>
              </w:rPr>
              <w:t>を含有</w:t>
            </w: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薬効分類名</w:t>
            </w:r>
          </w:p>
        </w:tc>
        <w:tc>
          <w:tcPr>
            <w:tcW w:w="8688" w:type="dxa"/>
            <w:gridSpan w:val="5"/>
            <w:tcBorders>
              <w:left w:val="single" w:sz="6" w:space="0" w:color="auto"/>
              <w:right w:val="single" w:sz="6" w:space="0" w:color="auto"/>
            </w:tcBorders>
            <w:vAlign w:val="center"/>
          </w:tcPr>
          <w:p w:rsidR="002245A4" w:rsidRDefault="002245A4" w:rsidP="00934C6A">
            <w:pPr>
              <w:spacing w:line="240" w:lineRule="exact"/>
              <w:jc w:val="center"/>
              <w:rPr>
                <w:rFonts w:ascii="ＭＳ 明朝" w:hAnsi="ＭＳ 明朝"/>
                <w:spacing w:val="8"/>
                <w:sz w:val="20"/>
              </w:rPr>
            </w:pPr>
            <w:r>
              <w:rPr>
                <w:rFonts w:ascii="ＭＳ 明朝" w:hAnsi="ＭＳ 明朝" w:hint="eastAsia"/>
                <w:spacing w:val="8"/>
                <w:sz w:val="20"/>
              </w:rPr>
              <w:t>眼科用剤</w:t>
            </w:r>
          </w:p>
        </w:tc>
      </w:tr>
      <w:tr w:rsidR="002245A4" w:rsidTr="002B5D81">
        <w:trPr>
          <w:trHeight w:val="491"/>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効能・効果</w:t>
            </w:r>
          </w:p>
        </w:tc>
        <w:tc>
          <w:tcPr>
            <w:tcW w:w="1601" w:type="dxa"/>
            <w:tcBorders>
              <w:left w:val="single" w:sz="6" w:space="0" w:color="auto"/>
            </w:tcBorders>
            <w:vAlign w:val="center"/>
          </w:tcPr>
          <w:p w:rsidR="002245A4" w:rsidRDefault="006B5083" w:rsidP="00123B20">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標準</w:t>
            </w:r>
            <w:r w:rsidR="002245A4">
              <w:rPr>
                <w:rFonts w:ascii="ＭＳ ゴシック" w:eastAsia="ＭＳ ゴシック" w:hAnsi="ＭＳ ゴシック" w:hint="eastAsia"/>
                <w:sz w:val="20"/>
                <w:szCs w:val="20"/>
              </w:rPr>
              <w:t>品と同じ</w:t>
            </w:r>
          </w:p>
        </w:tc>
        <w:tc>
          <w:tcPr>
            <w:tcW w:w="7087" w:type="dxa"/>
            <w:gridSpan w:val="4"/>
            <w:tcBorders>
              <w:right w:val="single" w:sz="6" w:space="0" w:color="auto"/>
            </w:tcBorders>
          </w:tcPr>
          <w:p w:rsidR="002245A4" w:rsidRPr="00426660" w:rsidRDefault="00123B20" w:rsidP="00123B20">
            <w:pPr>
              <w:pStyle w:val="3"/>
              <w:spacing w:line="240" w:lineRule="exact"/>
              <w:jc w:val="both"/>
              <w:rPr>
                <w:szCs w:val="20"/>
              </w:rPr>
            </w:pPr>
            <w:r>
              <w:rPr>
                <w:rFonts w:hint="eastAsia"/>
                <w:szCs w:val="20"/>
              </w:rPr>
              <w:t>外眼部及び前眼部の炎症性疾患の対症療法〔眼瞼炎、結膜炎、強膜炎（上強膜炎を含む）、術後炎症〕</w:t>
            </w: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用法・用量</w:t>
            </w:r>
          </w:p>
        </w:tc>
        <w:tc>
          <w:tcPr>
            <w:tcW w:w="1601" w:type="dxa"/>
            <w:tcBorders>
              <w:left w:val="single" w:sz="6" w:space="0" w:color="auto"/>
            </w:tcBorders>
            <w:vAlign w:val="center"/>
          </w:tcPr>
          <w:p w:rsidR="002245A4" w:rsidRDefault="006B5083" w:rsidP="00934C6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標準</w:t>
            </w:r>
            <w:r w:rsidR="002245A4">
              <w:rPr>
                <w:rFonts w:ascii="ＭＳ ゴシック" w:eastAsia="ＭＳ ゴシック" w:hAnsi="ＭＳ ゴシック" w:hint="eastAsia"/>
                <w:sz w:val="20"/>
                <w:szCs w:val="20"/>
              </w:rPr>
              <w:t>品と同じ</w:t>
            </w:r>
          </w:p>
        </w:tc>
        <w:tc>
          <w:tcPr>
            <w:tcW w:w="7087" w:type="dxa"/>
            <w:gridSpan w:val="4"/>
            <w:tcBorders>
              <w:right w:val="single" w:sz="6" w:space="0" w:color="auto"/>
            </w:tcBorders>
            <w:vAlign w:val="center"/>
          </w:tcPr>
          <w:p w:rsidR="002245A4" w:rsidRPr="00426660" w:rsidRDefault="00426660" w:rsidP="006F6796">
            <w:pPr>
              <w:spacing w:line="240" w:lineRule="exact"/>
              <w:ind w:left="-6"/>
              <w:rPr>
                <w:rFonts w:ascii="ＭＳ 明朝" w:hAnsi="ＭＳ 明朝"/>
                <w:sz w:val="20"/>
                <w:szCs w:val="20"/>
              </w:rPr>
            </w:pPr>
            <w:r w:rsidRPr="00426660">
              <w:rPr>
                <w:rFonts w:ascii="ＭＳ 明朝" w:hAnsi="ＭＳ 明朝" w:hint="eastAsia"/>
                <w:sz w:val="20"/>
                <w:szCs w:val="20"/>
              </w:rPr>
              <w:t>通常、１回１</w:t>
            </w:r>
            <w:r w:rsidR="006F6796">
              <w:rPr>
                <w:rFonts w:ascii="ＭＳ 明朝" w:hAnsi="ＭＳ 明朝" w:hint="eastAsia"/>
                <w:sz w:val="20"/>
                <w:szCs w:val="20"/>
              </w:rPr>
              <w:t>～２滴、１日２</w:t>
            </w:r>
            <w:r w:rsidRPr="00426660">
              <w:rPr>
                <w:rFonts w:ascii="ＭＳ 明朝" w:hAnsi="ＭＳ 明朝" w:hint="eastAsia"/>
                <w:sz w:val="20"/>
                <w:szCs w:val="20"/>
              </w:rPr>
              <w:t>回点眼する。</w:t>
            </w: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添加</w:t>
            </w:r>
            <w:r w:rsidR="007B3D0D">
              <w:rPr>
                <w:rFonts w:ascii="ＭＳ ゴシック" w:eastAsia="ＭＳ ゴシック" w:hAnsi="ＭＳ ゴシック" w:hint="eastAsia"/>
              </w:rPr>
              <w:t>剤</w:t>
            </w:r>
          </w:p>
        </w:tc>
        <w:tc>
          <w:tcPr>
            <w:tcW w:w="4343" w:type="dxa"/>
            <w:gridSpan w:val="3"/>
            <w:tcBorders>
              <w:left w:val="single" w:sz="6" w:space="0" w:color="auto"/>
            </w:tcBorders>
            <w:vAlign w:val="center"/>
          </w:tcPr>
          <w:p w:rsidR="002245A4" w:rsidRDefault="00452C6F" w:rsidP="00934C6A">
            <w:pPr>
              <w:spacing w:line="240" w:lineRule="exact"/>
              <w:rPr>
                <w:rFonts w:ascii="ＭＳ 明朝" w:hAnsi="ＭＳ 明朝"/>
                <w:spacing w:val="-6"/>
                <w:sz w:val="20"/>
                <w:szCs w:val="20"/>
              </w:rPr>
            </w:pPr>
            <w:r>
              <w:rPr>
                <w:rFonts w:ascii="ＭＳ 明朝" w:hAnsi="ＭＳ 明朝" w:hint="eastAsia"/>
                <w:sz w:val="20"/>
                <w:szCs w:val="20"/>
              </w:rPr>
              <w:t>ポリソルベート80、ホウ酸、ホウ砂、ポビドン、エデト酸ナトリウム水和物、乾燥亜硫酸ナトリウム、ベンザルコニウム塩化物、pH調整剤</w:t>
            </w:r>
            <w:bookmarkStart w:id="0" w:name="_GoBack"/>
            <w:bookmarkEnd w:id="0"/>
          </w:p>
        </w:tc>
        <w:tc>
          <w:tcPr>
            <w:tcW w:w="4345" w:type="dxa"/>
            <w:gridSpan w:val="2"/>
            <w:tcBorders>
              <w:right w:val="single" w:sz="6" w:space="0" w:color="auto"/>
            </w:tcBorders>
            <w:vAlign w:val="center"/>
          </w:tcPr>
          <w:p w:rsidR="002245A4" w:rsidRDefault="008333AA" w:rsidP="002F3B87">
            <w:pPr>
              <w:widowControl/>
              <w:spacing w:line="240" w:lineRule="exact"/>
              <w:rPr>
                <w:rFonts w:ascii="ＭＳ 明朝" w:hAnsi="ＭＳ 明朝"/>
                <w:spacing w:val="-4"/>
                <w:sz w:val="20"/>
                <w:szCs w:val="20"/>
              </w:rPr>
            </w:pPr>
            <w:r>
              <w:rPr>
                <w:rFonts w:ascii="ＭＳ 明朝" w:hAnsi="ＭＳ 明朝" w:hint="eastAsia"/>
                <w:sz w:val="20"/>
                <w:szCs w:val="20"/>
              </w:rPr>
              <w:t>ホウ酸、ホウ砂、乾燥亜硫酸ナトリウム、</w:t>
            </w:r>
            <w:r w:rsidR="00AF6B25">
              <w:rPr>
                <w:rFonts w:ascii="ＭＳ 明朝" w:hAnsi="ＭＳ 明朝" w:hint="eastAsia"/>
                <w:sz w:val="20"/>
                <w:szCs w:val="20"/>
              </w:rPr>
              <w:t>エデト酸ナトリウム水和物、</w:t>
            </w:r>
            <w:r>
              <w:rPr>
                <w:rFonts w:ascii="ＭＳ 明朝" w:hAnsi="ＭＳ 明朝" w:hint="eastAsia"/>
                <w:sz w:val="20"/>
                <w:szCs w:val="20"/>
              </w:rPr>
              <w:t>ポビドン、ポリソルベート80、ベンザルコニウム塩化物、</w:t>
            </w:r>
            <w:r w:rsidR="002F3B87">
              <w:rPr>
                <w:rFonts w:ascii="ＭＳ 明朝" w:hAnsi="ＭＳ 明朝" w:hint="eastAsia"/>
                <w:sz w:val="20"/>
                <w:szCs w:val="20"/>
              </w:rPr>
              <w:t>p</w:t>
            </w:r>
            <w:r w:rsidR="002F3B87">
              <w:rPr>
                <w:rFonts w:ascii="ＭＳ 明朝" w:hAnsi="ＭＳ 明朝"/>
                <w:sz w:val="20"/>
                <w:szCs w:val="20"/>
              </w:rPr>
              <w:t>H</w:t>
            </w:r>
            <w:r w:rsidR="002F3B87">
              <w:rPr>
                <w:rFonts w:ascii="ＭＳ 明朝" w:hAnsi="ＭＳ 明朝" w:hint="eastAsia"/>
                <w:sz w:val="20"/>
                <w:szCs w:val="20"/>
              </w:rPr>
              <w:t>調節剤</w:t>
            </w:r>
          </w:p>
        </w:tc>
      </w:tr>
      <w:tr w:rsidR="00934C6A" w:rsidTr="002B5D81">
        <w:trPr>
          <w:trHeight w:val="531"/>
        </w:trPr>
        <w:tc>
          <w:tcPr>
            <w:tcW w:w="1844" w:type="dxa"/>
            <w:tcBorders>
              <w:left w:val="single" w:sz="6" w:space="0" w:color="auto"/>
              <w:right w:val="single" w:sz="6" w:space="0" w:color="auto"/>
            </w:tcBorders>
            <w:vAlign w:val="center"/>
          </w:tcPr>
          <w:p w:rsidR="00934C6A" w:rsidRDefault="00934C6A" w:rsidP="00CE6A06">
            <w:pPr>
              <w:ind w:left="113" w:right="113"/>
              <w:jc w:val="distribute"/>
              <w:rPr>
                <w:rFonts w:ascii="ＭＳ ゴシック" w:eastAsia="ＭＳ ゴシック" w:hAnsi="ＭＳ ゴシック"/>
              </w:rPr>
            </w:pPr>
            <w:r>
              <w:rPr>
                <w:rFonts w:ascii="ＭＳ ゴシック" w:eastAsia="ＭＳ ゴシック" w:hAnsi="ＭＳ ゴシック" w:hint="eastAsia"/>
              </w:rPr>
              <w:t>規制区分</w:t>
            </w:r>
          </w:p>
          <w:p w:rsidR="00934C6A" w:rsidRDefault="00934C6A" w:rsidP="00CE6A06">
            <w:pPr>
              <w:ind w:left="113" w:right="113"/>
              <w:jc w:val="distribute"/>
              <w:rPr>
                <w:rFonts w:ascii="ＭＳ ゴシック" w:eastAsia="ＭＳ ゴシック" w:hAnsi="ＭＳ ゴシック"/>
              </w:rPr>
            </w:pPr>
            <w:r>
              <w:rPr>
                <w:rFonts w:ascii="ＭＳ ゴシック" w:eastAsia="ＭＳ ゴシック" w:hAnsi="ＭＳ ゴシック" w:hint="eastAsia"/>
              </w:rPr>
              <w:t>貯法</w:t>
            </w:r>
          </w:p>
        </w:tc>
        <w:tc>
          <w:tcPr>
            <w:tcW w:w="4343" w:type="dxa"/>
            <w:gridSpan w:val="3"/>
            <w:tcBorders>
              <w:left w:val="single" w:sz="6" w:space="0" w:color="auto"/>
            </w:tcBorders>
            <w:vAlign w:val="center"/>
          </w:tcPr>
          <w:p w:rsidR="00934C6A" w:rsidRDefault="00C546DD" w:rsidP="00934C6A">
            <w:pPr>
              <w:spacing w:line="240" w:lineRule="exact"/>
              <w:rPr>
                <w:rFonts w:ascii="ＭＳ 明朝" w:hAnsi="ＭＳ 明朝"/>
                <w:sz w:val="20"/>
                <w:szCs w:val="20"/>
              </w:rPr>
            </w:pPr>
            <w:r>
              <w:rPr>
                <w:rFonts w:ascii="ＭＳ 明朝" w:hAnsi="ＭＳ 明朝" w:hint="eastAsia"/>
                <w:sz w:val="20"/>
                <w:szCs w:val="20"/>
              </w:rPr>
              <w:t>―</w:t>
            </w:r>
          </w:p>
          <w:p w:rsidR="00934C6A" w:rsidRPr="00934C6A" w:rsidRDefault="00934C6A" w:rsidP="00934C6A">
            <w:pPr>
              <w:spacing w:line="240" w:lineRule="exact"/>
              <w:rPr>
                <w:rFonts w:ascii="ＭＳ 明朝" w:hAnsi="ＭＳ 明朝"/>
                <w:sz w:val="20"/>
                <w:szCs w:val="20"/>
              </w:rPr>
            </w:pPr>
            <w:r>
              <w:rPr>
                <w:rFonts w:ascii="ＭＳ 明朝" w:hAnsi="ＭＳ 明朝" w:hint="eastAsia"/>
                <w:sz w:val="20"/>
                <w:szCs w:val="20"/>
              </w:rPr>
              <w:t xml:space="preserve">室温保存　</w:t>
            </w:r>
            <w:r w:rsidR="0049257D">
              <w:rPr>
                <w:rFonts w:ascii="ＭＳ 明朝" w:hAnsi="ＭＳ 明朝" w:hint="eastAsia"/>
                <w:sz w:val="20"/>
                <w:szCs w:val="20"/>
              </w:rPr>
              <w:t>2</w:t>
            </w:r>
            <w:r>
              <w:rPr>
                <w:rFonts w:ascii="ＭＳ 明朝" w:hAnsi="ＭＳ 明朝" w:hint="eastAsia"/>
                <w:sz w:val="20"/>
                <w:szCs w:val="20"/>
              </w:rPr>
              <w:t>年</w:t>
            </w:r>
          </w:p>
        </w:tc>
        <w:tc>
          <w:tcPr>
            <w:tcW w:w="4345" w:type="dxa"/>
            <w:gridSpan w:val="2"/>
            <w:tcBorders>
              <w:right w:val="single" w:sz="6" w:space="0" w:color="auto"/>
            </w:tcBorders>
            <w:vAlign w:val="center"/>
          </w:tcPr>
          <w:p w:rsidR="00934C6A" w:rsidRDefault="00C546DD" w:rsidP="00934C6A">
            <w:pPr>
              <w:widowControl/>
              <w:spacing w:line="240" w:lineRule="exact"/>
              <w:rPr>
                <w:rFonts w:ascii="ＭＳ 明朝" w:hAnsi="ＭＳ 明朝"/>
                <w:sz w:val="20"/>
                <w:szCs w:val="20"/>
              </w:rPr>
            </w:pPr>
            <w:r>
              <w:rPr>
                <w:rFonts w:ascii="ＭＳ 明朝" w:hAnsi="ＭＳ 明朝" w:hint="eastAsia"/>
                <w:sz w:val="20"/>
                <w:szCs w:val="20"/>
              </w:rPr>
              <w:t>―</w:t>
            </w:r>
          </w:p>
          <w:p w:rsidR="00934C6A" w:rsidRPr="00934C6A" w:rsidRDefault="00934C6A" w:rsidP="00934C6A">
            <w:pPr>
              <w:widowControl/>
              <w:spacing w:line="240" w:lineRule="exact"/>
              <w:rPr>
                <w:rFonts w:ascii="ＭＳ 明朝" w:hAnsi="ＭＳ 明朝"/>
                <w:sz w:val="20"/>
                <w:szCs w:val="20"/>
              </w:rPr>
            </w:pPr>
            <w:r>
              <w:rPr>
                <w:rFonts w:ascii="ＭＳ 明朝" w:hAnsi="ＭＳ 明朝" w:hint="eastAsia"/>
                <w:sz w:val="20"/>
                <w:szCs w:val="20"/>
              </w:rPr>
              <w:t xml:space="preserve">室温保存　</w:t>
            </w:r>
            <w:r w:rsidR="00B3514B">
              <w:rPr>
                <w:rFonts w:ascii="ＭＳ 明朝" w:hAnsi="ＭＳ 明朝" w:hint="eastAsia"/>
                <w:sz w:val="20"/>
                <w:szCs w:val="20"/>
              </w:rPr>
              <w:t>2</w:t>
            </w:r>
            <w:r>
              <w:rPr>
                <w:rFonts w:ascii="ＭＳ 明朝" w:hAnsi="ＭＳ 明朝" w:hint="eastAsia"/>
                <w:sz w:val="20"/>
                <w:szCs w:val="20"/>
              </w:rPr>
              <w:t>年</w:t>
            </w:r>
          </w:p>
        </w:tc>
      </w:tr>
      <w:tr w:rsidR="00614C61" w:rsidTr="002B5D81">
        <w:trPr>
          <w:cantSplit/>
          <w:trHeight w:val="511"/>
        </w:trPr>
        <w:tc>
          <w:tcPr>
            <w:tcW w:w="1844" w:type="dxa"/>
            <w:tcBorders>
              <w:left w:val="single" w:sz="6" w:space="0" w:color="auto"/>
              <w:right w:val="single" w:sz="6" w:space="0" w:color="auto"/>
            </w:tcBorders>
            <w:vAlign w:val="center"/>
          </w:tcPr>
          <w:p w:rsidR="00614C61" w:rsidRDefault="00614C61"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製品の性状</w:t>
            </w:r>
          </w:p>
        </w:tc>
        <w:tc>
          <w:tcPr>
            <w:tcW w:w="4343" w:type="dxa"/>
            <w:gridSpan w:val="3"/>
            <w:tcBorders>
              <w:left w:val="single" w:sz="6" w:space="0" w:color="auto"/>
            </w:tcBorders>
            <w:vAlign w:val="center"/>
          </w:tcPr>
          <w:p w:rsidR="00614C61" w:rsidRDefault="002F3B87" w:rsidP="00614C61">
            <w:pPr>
              <w:spacing w:line="240" w:lineRule="exact"/>
              <w:rPr>
                <w:rFonts w:ascii="ＭＳ 明朝" w:hAnsi="ＭＳ ゴシック"/>
                <w:sz w:val="20"/>
              </w:rPr>
            </w:pPr>
            <w:r>
              <w:rPr>
                <w:rFonts w:ascii="ＭＳ 明朝" w:hAnsi="ＭＳ ゴシック" w:hint="eastAsia"/>
                <w:sz w:val="20"/>
              </w:rPr>
              <w:t>黄色澄明の</w:t>
            </w:r>
            <w:r w:rsidR="00614C61">
              <w:rPr>
                <w:rFonts w:ascii="ＭＳ 明朝" w:hAnsi="ＭＳ ゴシック" w:hint="eastAsia"/>
                <w:sz w:val="20"/>
              </w:rPr>
              <w:t>水性点眼液</w:t>
            </w:r>
            <w:r>
              <w:rPr>
                <w:rFonts w:ascii="ＭＳ 明朝" w:hAnsi="ＭＳ ゴシック" w:hint="eastAsia"/>
                <w:sz w:val="20"/>
              </w:rPr>
              <w:t>（無菌製剤）</w:t>
            </w:r>
          </w:p>
          <w:p w:rsidR="00614C61" w:rsidRDefault="008E411E" w:rsidP="00614C61">
            <w:pPr>
              <w:spacing w:line="240" w:lineRule="exact"/>
              <w:rPr>
                <w:rFonts w:ascii="ＭＳ 明朝" w:hAnsi="ＭＳ ゴシック"/>
                <w:sz w:val="20"/>
              </w:rPr>
            </w:pPr>
            <w:r>
              <w:rPr>
                <w:rFonts w:ascii="ＭＳ 明朝" w:hAnsi="ＭＳ ゴシック" w:hint="eastAsia"/>
                <w:sz w:val="20"/>
              </w:rPr>
              <w:t>pH</w:t>
            </w:r>
            <w:r w:rsidR="00614C61">
              <w:rPr>
                <w:rFonts w:ascii="ＭＳ 明朝" w:hAnsi="ＭＳ ゴシック" w:hint="eastAsia"/>
                <w:sz w:val="20"/>
              </w:rPr>
              <w:t>：</w:t>
            </w:r>
            <w:r w:rsidR="00BC7C9C">
              <w:rPr>
                <w:rFonts w:ascii="ＭＳ 明朝" w:hAnsi="ＭＳ ゴシック" w:hint="eastAsia"/>
                <w:sz w:val="20"/>
              </w:rPr>
              <w:t>8.0～8.6</w:t>
            </w:r>
          </w:p>
          <w:p w:rsidR="00614C61" w:rsidRDefault="00614C61" w:rsidP="007E474B">
            <w:pPr>
              <w:spacing w:line="240" w:lineRule="exact"/>
              <w:rPr>
                <w:rFonts w:ascii="ＭＳ 明朝" w:hAnsi="ＭＳ ゴシック"/>
                <w:sz w:val="20"/>
              </w:rPr>
            </w:pPr>
            <w:r>
              <w:rPr>
                <w:rFonts w:ascii="ＭＳ 明朝" w:hAnsi="ＭＳ ゴシック" w:hint="eastAsia"/>
                <w:sz w:val="20"/>
              </w:rPr>
              <w:t>浸透圧比：</w:t>
            </w:r>
            <w:r w:rsidR="00BC7C9C">
              <w:rPr>
                <w:rFonts w:ascii="ＭＳ 明朝" w:hAnsi="ＭＳ ゴシック" w:hint="eastAsia"/>
                <w:sz w:val="20"/>
              </w:rPr>
              <w:t>0.9</w:t>
            </w:r>
            <w:r>
              <w:rPr>
                <w:rFonts w:ascii="ＭＳ 明朝" w:hAnsi="ＭＳ ゴシック" w:hint="eastAsia"/>
                <w:sz w:val="20"/>
              </w:rPr>
              <w:t>～</w:t>
            </w:r>
            <w:r w:rsidR="00426660">
              <w:rPr>
                <w:rFonts w:ascii="ＭＳ 明朝" w:hAnsi="ＭＳ ゴシック" w:hint="eastAsia"/>
                <w:sz w:val="20"/>
              </w:rPr>
              <w:t>1.1</w:t>
            </w:r>
          </w:p>
        </w:tc>
        <w:tc>
          <w:tcPr>
            <w:tcW w:w="4345" w:type="dxa"/>
            <w:gridSpan w:val="2"/>
            <w:tcBorders>
              <w:right w:val="single" w:sz="6" w:space="0" w:color="auto"/>
            </w:tcBorders>
            <w:vAlign w:val="center"/>
          </w:tcPr>
          <w:p w:rsidR="00614C61" w:rsidRDefault="002F3B87" w:rsidP="00614C61">
            <w:pPr>
              <w:spacing w:line="240" w:lineRule="exact"/>
              <w:rPr>
                <w:rFonts w:ascii="ＭＳ 明朝" w:hAnsi="ＭＳ ゴシック"/>
                <w:sz w:val="20"/>
              </w:rPr>
            </w:pPr>
            <w:r>
              <w:rPr>
                <w:rFonts w:ascii="ＭＳ 明朝" w:hAnsi="ＭＳ ゴシック" w:hint="eastAsia"/>
                <w:sz w:val="20"/>
              </w:rPr>
              <w:t>黄色澄明の無菌</w:t>
            </w:r>
            <w:r w:rsidR="00614C61">
              <w:rPr>
                <w:rFonts w:ascii="ＭＳ 明朝" w:hAnsi="ＭＳ ゴシック" w:hint="eastAsia"/>
                <w:sz w:val="20"/>
              </w:rPr>
              <w:t>水性点眼</w:t>
            </w:r>
            <w:r w:rsidR="00193867">
              <w:rPr>
                <w:rFonts w:ascii="ＭＳ 明朝" w:hAnsi="ＭＳ ゴシック" w:hint="eastAsia"/>
                <w:sz w:val="20"/>
              </w:rPr>
              <w:t>剤</w:t>
            </w:r>
          </w:p>
          <w:p w:rsidR="00614C61" w:rsidRDefault="008E411E" w:rsidP="00614C61">
            <w:pPr>
              <w:spacing w:line="240" w:lineRule="exact"/>
              <w:rPr>
                <w:rFonts w:ascii="ＭＳ 明朝" w:hAnsi="ＭＳ ゴシック"/>
                <w:sz w:val="20"/>
              </w:rPr>
            </w:pPr>
            <w:r>
              <w:rPr>
                <w:rFonts w:ascii="ＭＳ 明朝" w:hAnsi="ＭＳ ゴシック" w:hint="eastAsia"/>
                <w:sz w:val="20"/>
              </w:rPr>
              <w:t>pH</w:t>
            </w:r>
            <w:r w:rsidR="00614C61">
              <w:rPr>
                <w:rFonts w:ascii="ＭＳ 明朝" w:hAnsi="ＭＳ ゴシック" w:hint="eastAsia"/>
                <w:sz w:val="20"/>
              </w:rPr>
              <w:t>：</w:t>
            </w:r>
            <w:r w:rsidR="00F553DB">
              <w:rPr>
                <w:rFonts w:ascii="ＭＳ 明朝" w:hAnsi="ＭＳ ゴシック" w:hint="eastAsia"/>
                <w:sz w:val="20"/>
              </w:rPr>
              <w:t>8.0～8.6</w:t>
            </w:r>
          </w:p>
          <w:p w:rsidR="00614C61" w:rsidRPr="00614C61" w:rsidRDefault="00614C61" w:rsidP="00944C62">
            <w:pPr>
              <w:spacing w:line="240" w:lineRule="exact"/>
              <w:rPr>
                <w:rFonts w:ascii="ＭＳ 明朝" w:hAnsi="ＭＳ ゴシック"/>
                <w:sz w:val="20"/>
              </w:rPr>
            </w:pPr>
          </w:p>
        </w:tc>
      </w:tr>
      <w:tr w:rsidR="002245A4" w:rsidTr="002B5D81">
        <w:trPr>
          <w:trHeight w:val="340"/>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製剤特性</w:t>
            </w:r>
          </w:p>
        </w:tc>
        <w:tc>
          <w:tcPr>
            <w:tcW w:w="8688" w:type="dxa"/>
            <w:gridSpan w:val="5"/>
            <w:tcBorders>
              <w:left w:val="single" w:sz="6" w:space="0" w:color="auto"/>
              <w:right w:val="single" w:sz="6" w:space="0" w:color="auto"/>
            </w:tcBorders>
            <w:vAlign w:val="center"/>
          </w:tcPr>
          <w:p w:rsidR="002245A4" w:rsidRDefault="002245A4" w:rsidP="00934C6A">
            <w:pPr>
              <w:spacing w:line="240" w:lineRule="exact"/>
              <w:jc w:val="center"/>
              <w:rPr>
                <w:rFonts w:ascii="ＭＳ 明朝" w:hAnsi="ＭＳ ゴシック"/>
                <w:sz w:val="20"/>
              </w:rPr>
            </w:pPr>
            <w:r>
              <w:rPr>
                <w:rFonts w:ascii="ＭＳ 明朝" w:hAnsi="ＭＳ ゴシック" w:hint="eastAsia"/>
                <w:sz w:val="20"/>
              </w:rPr>
              <w:t>無菌水性点眼剤</w:t>
            </w:r>
          </w:p>
        </w:tc>
      </w:tr>
      <w:tr w:rsidR="002245A4" w:rsidTr="002B5D81">
        <w:trPr>
          <w:trHeight w:val="338"/>
        </w:trPr>
        <w:tc>
          <w:tcPr>
            <w:tcW w:w="1844" w:type="dxa"/>
            <w:tcBorders>
              <w:left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rPr>
            </w:pPr>
            <w:r>
              <w:rPr>
                <w:rFonts w:ascii="ＭＳ ゴシック" w:eastAsia="ＭＳ ゴシック" w:hAnsi="ＭＳ ゴシック" w:hint="eastAsia"/>
              </w:rPr>
              <w:t>品質再評価</w:t>
            </w:r>
          </w:p>
        </w:tc>
        <w:tc>
          <w:tcPr>
            <w:tcW w:w="4343" w:type="dxa"/>
            <w:gridSpan w:val="3"/>
            <w:tcBorders>
              <w:left w:val="single" w:sz="6" w:space="0" w:color="auto"/>
              <w:bottom w:val="single" w:sz="4" w:space="0" w:color="auto"/>
            </w:tcBorders>
            <w:vAlign w:val="center"/>
          </w:tcPr>
          <w:p w:rsidR="002245A4" w:rsidRDefault="002245A4" w:rsidP="00934C6A">
            <w:pPr>
              <w:spacing w:line="240" w:lineRule="exact"/>
              <w:jc w:val="center"/>
              <w:rPr>
                <w:rFonts w:ascii="ＭＳ 明朝" w:hAnsi="ＭＳ ゴシック"/>
                <w:sz w:val="20"/>
              </w:rPr>
            </w:pPr>
          </w:p>
        </w:tc>
        <w:tc>
          <w:tcPr>
            <w:tcW w:w="4345" w:type="dxa"/>
            <w:gridSpan w:val="2"/>
            <w:tcBorders>
              <w:bottom w:val="single" w:sz="4" w:space="0" w:color="auto"/>
              <w:right w:val="single" w:sz="6" w:space="0" w:color="auto"/>
            </w:tcBorders>
          </w:tcPr>
          <w:p w:rsidR="002245A4" w:rsidRDefault="002245A4" w:rsidP="00934C6A">
            <w:pPr>
              <w:spacing w:line="240" w:lineRule="exact"/>
              <w:rPr>
                <w:rFonts w:ascii="ＭＳ 明朝" w:hAnsi="ＭＳ ゴシック"/>
                <w:sz w:val="20"/>
              </w:rPr>
            </w:pPr>
          </w:p>
        </w:tc>
      </w:tr>
      <w:tr w:rsidR="002B5D81" w:rsidTr="002B5D81">
        <w:trPr>
          <w:cantSplit/>
          <w:trHeight w:val="287"/>
        </w:trPr>
        <w:tc>
          <w:tcPr>
            <w:tcW w:w="1844" w:type="dxa"/>
            <w:vMerge w:val="restart"/>
            <w:tcBorders>
              <w:left w:val="single" w:sz="6" w:space="0" w:color="auto"/>
              <w:right w:val="single" w:sz="6" w:space="0" w:color="auto"/>
            </w:tcBorders>
            <w:vAlign w:val="center"/>
          </w:tcPr>
          <w:p w:rsidR="002B5D81" w:rsidRDefault="002B5D81" w:rsidP="00CE6A06">
            <w:pPr>
              <w:ind w:left="113" w:right="113"/>
              <w:jc w:val="distribute"/>
              <w:rPr>
                <w:rFonts w:ascii="ＭＳ ゴシック" w:eastAsia="ＭＳ ゴシック" w:hAnsi="ＭＳ ゴシック"/>
              </w:rPr>
            </w:pPr>
            <w:r>
              <w:rPr>
                <w:rFonts w:ascii="ＭＳ ゴシック" w:eastAsia="ＭＳ ゴシック" w:hAnsi="ＭＳ ゴシック" w:hint="eastAsia"/>
              </w:rPr>
              <w:t>標準品との</w:t>
            </w:r>
          </w:p>
          <w:p w:rsidR="002B5D81" w:rsidRDefault="002B5D81" w:rsidP="00CE6A06">
            <w:pPr>
              <w:ind w:left="113" w:right="113"/>
              <w:jc w:val="distribute"/>
              <w:rPr>
                <w:rFonts w:ascii="ＭＳ ゴシック" w:eastAsia="ＭＳ ゴシック" w:hAnsi="ＭＳ ゴシック"/>
              </w:rPr>
            </w:pPr>
            <w:r>
              <w:rPr>
                <w:rFonts w:ascii="ＭＳ ゴシック" w:eastAsia="ＭＳ ゴシック" w:hAnsi="ＭＳ ゴシック" w:hint="eastAsia"/>
              </w:rPr>
              <w:t>同等性</w:t>
            </w:r>
          </w:p>
        </w:tc>
        <w:tc>
          <w:tcPr>
            <w:tcW w:w="4343" w:type="dxa"/>
            <w:gridSpan w:val="3"/>
            <w:tcBorders>
              <w:left w:val="single" w:sz="6" w:space="0" w:color="auto"/>
              <w:bottom w:val="nil"/>
              <w:right w:val="nil"/>
            </w:tcBorders>
            <w:vAlign w:val="center"/>
          </w:tcPr>
          <w:p w:rsidR="002B5D81" w:rsidRPr="00E961C7" w:rsidRDefault="002B5D81" w:rsidP="003A7758">
            <w:pPr>
              <w:spacing w:line="24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生物学的同等性試験</w:t>
            </w:r>
          </w:p>
        </w:tc>
        <w:tc>
          <w:tcPr>
            <w:tcW w:w="4345" w:type="dxa"/>
            <w:gridSpan w:val="2"/>
            <w:tcBorders>
              <w:left w:val="nil"/>
              <w:bottom w:val="nil"/>
              <w:right w:val="single" w:sz="6" w:space="0" w:color="auto"/>
            </w:tcBorders>
            <w:vAlign w:val="center"/>
          </w:tcPr>
          <w:p w:rsidR="002B5D81" w:rsidRPr="00CE6A06" w:rsidRDefault="002B5D81" w:rsidP="003A7758">
            <w:pPr>
              <w:spacing w:line="240" w:lineRule="exact"/>
              <w:rPr>
                <w:rFonts w:ascii="ＭＳ ゴシック" w:eastAsia="ＭＳ ゴシック" w:hAnsi="ＭＳ ゴシック"/>
                <w:sz w:val="21"/>
                <w:u w:val="single"/>
              </w:rPr>
            </w:pPr>
          </w:p>
        </w:tc>
      </w:tr>
      <w:tr w:rsidR="002B5D81" w:rsidRPr="00F42070" w:rsidTr="002B5D81">
        <w:trPr>
          <w:cantSplit/>
          <w:trHeight w:val="3791"/>
        </w:trPr>
        <w:tc>
          <w:tcPr>
            <w:tcW w:w="1844" w:type="dxa"/>
            <w:vMerge/>
            <w:tcBorders>
              <w:left w:val="single" w:sz="6" w:space="0" w:color="auto"/>
              <w:right w:val="single" w:sz="6" w:space="0" w:color="auto"/>
            </w:tcBorders>
            <w:vAlign w:val="center"/>
          </w:tcPr>
          <w:p w:rsidR="002B5D81" w:rsidRDefault="002B5D81">
            <w:pPr>
              <w:ind w:left="113" w:right="113"/>
              <w:jc w:val="distribute"/>
              <w:rPr>
                <w:rFonts w:ascii="ＭＳ ゴシック" w:eastAsia="ＭＳ ゴシック" w:hAnsi="ＭＳ ゴシック"/>
              </w:rPr>
            </w:pPr>
          </w:p>
        </w:tc>
        <w:tc>
          <w:tcPr>
            <w:tcW w:w="2895" w:type="dxa"/>
            <w:gridSpan w:val="2"/>
            <w:tcBorders>
              <w:top w:val="nil"/>
              <w:left w:val="single" w:sz="6" w:space="0" w:color="auto"/>
              <w:bottom w:val="nil"/>
              <w:right w:val="dotted" w:sz="4" w:space="0" w:color="auto"/>
            </w:tcBorders>
          </w:tcPr>
          <w:p w:rsidR="002B5D81" w:rsidRPr="00050F80" w:rsidRDefault="002B5D81" w:rsidP="00050F80">
            <w:pPr>
              <w:spacing w:line="240" w:lineRule="exact"/>
              <w:rPr>
                <w:rFonts w:ascii="ＭＳ ゴシック" w:eastAsia="ＭＳ ゴシック" w:hAnsi="ＭＳ ゴシック"/>
                <w:sz w:val="17"/>
                <w:szCs w:val="17"/>
                <w:u w:val="single"/>
              </w:rPr>
            </w:pPr>
            <w:r w:rsidRPr="00050F80">
              <w:rPr>
                <w:rFonts w:ascii="ＭＳ ゴシック" w:eastAsia="ＭＳ ゴシック" w:hAnsi="ＭＳ ゴシック" w:hint="eastAsia"/>
                <w:sz w:val="17"/>
                <w:szCs w:val="17"/>
                <w:u w:val="single"/>
              </w:rPr>
              <w:t>ウサギ眼組織内薬物移行動態</w:t>
            </w:r>
          </w:p>
          <w:p w:rsidR="002B5D81" w:rsidRPr="00D763E9" w:rsidRDefault="002B5D81" w:rsidP="00B65ACF">
            <w:pPr>
              <w:spacing w:line="240" w:lineRule="exact"/>
              <w:rPr>
                <w:rFonts w:ascii="ＭＳ ゴシック" w:eastAsia="ＭＳ ゴシック" w:hAnsi="ＭＳ ゴシック"/>
                <w:sz w:val="18"/>
                <w:szCs w:val="18"/>
                <w:u w:val="single"/>
              </w:rPr>
            </w:pPr>
            <w:r>
              <w:rPr>
                <w:rFonts w:ascii="ＭＳ 明朝" w:hAnsi="ＭＳ 明朝" w:hint="eastAsia"/>
                <w:sz w:val="18"/>
                <w:szCs w:val="18"/>
              </w:rPr>
              <w:t>ウサギの左眼にはブロムフェナクNa点眼液0.1％「日新」を、右眼には標準製剤を</w:t>
            </w:r>
            <w:r w:rsidRPr="00D763E9">
              <w:rPr>
                <w:rFonts w:ascii="ＭＳ 明朝" w:hAnsi="ＭＳ 明朝" w:hint="eastAsia"/>
                <w:sz w:val="18"/>
                <w:szCs w:val="18"/>
              </w:rPr>
              <w:t>それぞれ50μL（ブロムフェナクナトリウム水和物として0.05mg）点眼し、房水中ブロムフェナクナトリウム濃度を測定した</w:t>
            </w:r>
            <w:r>
              <w:rPr>
                <w:rFonts w:ascii="ＭＳ 明朝" w:hAnsi="ＭＳ 明朝" w:hint="eastAsia"/>
                <w:sz w:val="18"/>
                <w:szCs w:val="18"/>
              </w:rPr>
              <w:t>。得られた</w:t>
            </w:r>
            <w:r w:rsidRPr="00D763E9">
              <w:rPr>
                <w:rFonts w:ascii="ＭＳ 明朝" w:hAnsi="ＭＳ 明朝" w:hint="eastAsia"/>
                <w:sz w:val="18"/>
                <w:szCs w:val="18"/>
              </w:rPr>
              <w:t>薬物動態パラメータ（AUC、Cmax）に</w:t>
            </w:r>
            <w:r>
              <w:rPr>
                <w:rFonts w:ascii="ＭＳ 明朝" w:hAnsi="ＭＳ 明朝" w:hint="eastAsia"/>
                <w:sz w:val="18"/>
                <w:szCs w:val="18"/>
              </w:rPr>
              <w:t>ついて90％信頼区間法にて統計解析を行った結果、log（0.80）～log（1.25）の範囲内であった。</w:t>
            </w:r>
          </w:p>
        </w:tc>
        <w:tc>
          <w:tcPr>
            <w:tcW w:w="2896" w:type="dxa"/>
            <w:gridSpan w:val="2"/>
            <w:tcBorders>
              <w:top w:val="nil"/>
              <w:left w:val="dotted" w:sz="4" w:space="0" w:color="auto"/>
              <w:bottom w:val="nil"/>
              <w:right w:val="dotted" w:sz="4" w:space="0" w:color="auto"/>
            </w:tcBorders>
          </w:tcPr>
          <w:p w:rsidR="002B5D81" w:rsidRPr="00567ACA" w:rsidRDefault="002B5D81" w:rsidP="00050F80">
            <w:pPr>
              <w:spacing w:line="240" w:lineRule="exact"/>
              <w:rPr>
                <w:rFonts w:ascii="ＭＳ ゴシック" w:eastAsia="ＭＳ ゴシック" w:hAnsi="ＭＳ ゴシック"/>
                <w:sz w:val="17"/>
                <w:szCs w:val="17"/>
                <w:u w:val="single"/>
              </w:rPr>
            </w:pPr>
            <w:r w:rsidRPr="00567ACA">
              <w:rPr>
                <w:rFonts w:ascii="ＭＳ ゴシック" w:eastAsia="ＭＳ ゴシック" w:hAnsi="ＭＳ ゴシック" w:hint="eastAsia"/>
                <w:sz w:val="17"/>
                <w:szCs w:val="17"/>
                <w:u w:val="single"/>
              </w:rPr>
              <w:t>実験的急性結膜浮腫に対する抑制効果</w:t>
            </w:r>
          </w:p>
          <w:p w:rsidR="002B5D81" w:rsidRPr="00FB42A8" w:rsidRDefault="002B5D81" w:rsidP="00A24D6E">
            <w:pPr>
              <w:spacing w:line="240" w:lineRule="exact"/>
              <w:rPr>
                <w:rFonts w:ascii="ＭＳ 明朝" w:hAnsi="ＭＳ 明朝"/>
                <w:sz w:val="18"/>
                <w:szCs w:val="18"/>
              </w:rPr>
            </w:pPr>
            <w:r>
              <w:rPr>
                <w:rFonts w:ascii="ＭＳ 明朝" w:hAnsi="ＭＳ 明朝" w:hint="eastAsia"/>
                <w:sz w:val="18"/>
                <w:szCs w:val="18"/>
              </w:rPr>
              <w:t>ブロムフェナクNa点眼液0.1％「日新」群（以後、試験製剤群）、標準製剤群、生</w:t>
            </w:r>
            <w:r w:rsidRPr="00D763E9">
              <w:rPr>
                <w:rFonts w:ascii="ＭＳ 明朝" w:hAnsi="ＭＳ 明朝" w:hint="eastAsia"/>
                <w:sz w:val="18"/>
                <w:szCs w:val="18"/>
              </w:rPr>
              <w:t>理食塩液群、</w:t>
            </w:r>
            <w:r>
              <w:rPr>
                <w:rFonts w:ascii="ＭＳ 明朝" w:hAnsi="ＭＳ 明朝" w:hint="eastAsia"/>
                <w:sz w:val="18"/>
                <w:szCs w:val="18"/>
              </w:rPr>
              <w:t>プラセボ群（</w:t>
            </w:r>
            <w:r w:rsidRPr="00D763E9">
              <w:rPr>
                <w:rFonts w:ascii="ＭＳ 明朝" w:hAnsi="ＭＳ 明朝" w:hint="eastAsia"/>
                <w:sz w:val="18"/>
                <w:szCs w:val="18"/>
              </w:rPr>
              <w:t>ブロムフェナクNa点眼液0.1％「日新」の基剤群</w:t>
            </w:r>
            <w:r>
              <w:rPr>
                <w:rFonts w:ascii="ＭＳ 明朝" w:hAnsi="ＭＳ 明朝" w:hint="eastAsia"/>
                <w:sz w:val="18"/>
                <w:szCs w:val="18"/>
              </w:rPr>
              <w:t>）の4群</w:t>
            </w:r>
            <w:r w:rsidRPr="00D763E9">
              <w:rPr>
                <w:rFonts w:ascii="ＭＳ 明朝" w:hAnsi="ＭＳ 明朝" w:hint="eastAsia"/>
                <w:sz w:val="18"/>
                <w:szCs w:val="18"/>
              </w:rPr>
              <w:t>に分け</w:t>
            </w:r>
            <w:r>
              <w:rPr>
                <w:rFonts w:ascii="ＭＳ 明朝" w:hAnsi="ＭＳ 明朝" w:hint="eastAsia"/>
                <w:sz w:val="18"/>
                <w:szCs w:val="18"/>
              </w:rPr>
              <w:t>、ラットの右眼にそれぞれ5μL</w:t>
            </w:r>
            <w:r w:rsidR="00F42070">
              <w:rPr>
                <w:rFonts w:ascii="ＭＳ 明朝" w:hAnsi="ＭＳ 明朝" w:hint="eastAsia"/>
                <w:sz w:val="18"/>
                <w:szCs w:val="18"/>
              </w:rPr>
              <w:t>（試験製剤群と標準製剤群では</w:t>
            </w:r>
            <w:r>
              <w:rPr>
                <w:rFonts w:ascii="ＭＳ 明朝" w:hAnsi="ＭＳ 明朝" w:hint="eastAsia"/>
                <w:sz w:val="18"/>
                <w:szCs w:val="18"/>
              </w:rPr>
              <w:t>ブロムフェナクナトリウム水和物として0.005㎎）点眼し、点眼15分後にカラゲニンによる実験的急性結膜浮腫を惹起させ、浮腫抑制率を算出した結果、試験製剤群及び標準製剤群は、生理食塩液群及びプラセボ群と比較して両製剤とも同様の有意な浮腫抑制効果が認められた。</w:t>
            </w:r>
          </w:p>
        </w:tc>
        <w:tc>
          <w:tcPr>
            <w:tcW w:w="2897" w:type="dxa"/>
            <w:tcBorders>
              <w:top w:val="nil"/>
              <w:left w:val="dotted" w:sz="4" w:space="0" w:color="auto"/>
              <w:bottom w:val="nil"/>
              <w:right w:val="single" w:sz="6" w:space="0" w:color="auto"/>
            </w:tcBorders>
            <w:vAlign w:val="center"/>
          </w:tcPr>
          <w:p w:rsidR="002B5D81" w:rsidRPr="00050F80" w:rsidRDefault="002B5D81" w:rsidP="00050F80">
            <w:pPr>
              <w:spacing w:line="240" w:lineRule="exact"/>
              <w:rPr>
                <w:rFonts w:ascii="ＭＳ ゴシック" w:eastAsia="ＭＳ ゴシック"/>
                <w:sz w:val="17"/>
                <w:szCs w:val="17"/>
                <w:u w:val="single"/>
              </w:rPr>
            </w:pPr>
            <w:r w:rsidRPr="00050F80">
              <w:rPr>
                <w:rFonts w:ascii="ＭＳ ゴシック" w:eastAsia="ＭＳ ゴシック" w:hint="eastAsia"/>
                <w:sz w:val="17"/>
                <w:szCs w:val="17"/>
                <w:u w:val="single"/>
              </w:rPr>
              <w:t>房水蛋白濃度増加に対する抑制効果</w:t>
            </w:r>
          </w:p>
          <w:p w:rsidR="002B5D81" w:rsidRPr="00D763E9" w:rsidRDefault="002B5D81" w:rsidP="008C4F89">
            <w:pPr>
              <w:spacing w:line="240" w:lineRule="exact"/>
              <w:rPr>
                <w:rFonts w:ascii="ＭＳ 明朝" w:hAnsi="ＭＳ 明朝"/>
                <w:sz w:val="18"/>
                <w:szCs w:val="18"/>
              </w:rPr>
            </w:pPr>
            <w:r w:rsidRPr="00D763E9">
              <w:rPr>
                <w:rFonts w:ascii="ＭＳ 明朝" w:hAnsi="ＭＳ 明朝" w:hint="eastAsia"/>
                <w:sz w:val="18"/>
                <w:szCs w:val="18"/>
              </w:rPr>
              <w:t>ブロムフェナクNa点眼液0.1％「日新」群</w:t>
            </w:r>
            <w:r>
              <w:rPr>
                <w:rFonts w:ascii="ＭＳ 明朝" w:hAnsi="ＭＳ 明朝" w:hint="eastAsia"/>
                <w:sz w:val="18"/>
                <w:szCs w:val="18"/>
              </w:rPr>
              <w:t>（以後、試験製剤群）</w:t>
            </w:r>
            <w:r w:rsidRPr="00D763E9">
              <w:rPr>
                <w:rFonts w:ascii="ＭＳ 明朝" w:hAnsi="ＭＳ 明朝" w:hint="eastAsia"/>
                <w:sz w:val="18"/>
                <w:szCs w:val="18"/>
              </w:rPr>
              <w:t>、標準製剤群、生理食塩液群、</w:t>
            </w:r>
            <w:r>
              <w:rPr>
                <w:rFonts w:ascii="ＭＳ 明朝" w:hAnsi="ＭＳ 明朝" w:hint="eastAsia"/>
                <w:sz w:val="18"/>
                <w:szCs w:val="18"/>
              </w:rPr>
              <w:t>プラセボ群（</w:t>
            </w:r>
            <w:r w:rsidRPr="00D763E9">
              <w:rPr>
                <w:rFonts w:ascii="ＭＳ 明朝" w:hAnsi="ＭＳ 明朝" w:hint="eastAsia"/>
                <w:sz w:val="18"/>
                <w:szCs w:val="18"/>
              </w:rPr>
              <w:t>ブロムフェナクNa点眼液0.1％「日新」の基剤群</w:t>
            </w:r>
            <w:r>
              <w:rPr>
                <w:rFonts w:ascii="ＭＳ 明朝" w:hAnsi="ＭＳ 明朝" w:hint="eastAsia"/>
                <w:sz w:val="18"/>
                <w:szCs w:val="18"/>
              </w:rPr>
              <w:t>）の4群</w:t>
            </w:r>
            <w:r w:rsidRPr="00D763E9">
              <w:rPr>
                <w:rFonts w:ascii="ＭＳ 明朝" w:hAnsi="ＭＳ 明朝" w:hint="eastAsia"/>
                <w:sz w:val="18"/>
                <w:szCs w:val="18"/>
              </w:rPr>
              <w:t>に分け</w:t>
            </w:r>
            <w:r>
              <w:rPr>
                <w:rFonts w:ascii="ＭＳ 明朝" w:hAnsi="ＭＳ 明朝" w:hint="eastAsia"/>
                <w:sz w:val="18"/>
                <w:szCs w:val="18"/>
              </w:rPr>
              <w:t>、ウサギの右眼にそれぞれ50μL</w:t>
            </w:r>
            <w:r w:rsidR="00F42070">
              <w:rPr>
                <w:rFonts w:ascii="ＭＳ 明朝" w:hAnsi="ＭＳ 明朝" w:hint="eastAsia"/>
                <w:sz w:val="18"/>
                <w:szCs w:val="18"/>
              </w:rPr>
              <w:t>（試験製剤群と標準製剤群ではブロムフェナクナトリウム</w:t>
            </w:r>
            <w:r>
              <w:rPr>
                <w:rFonts w:ascii="ＭＳ 明朝" w:hAnsi="ＭＳ 明朝" w:hint="eastAsia"/>
                <w:sz w:val="18"/>
                <w:szCs w:val="18"/>
              </w:rPr>
              <w:t>水和物として0.05㎎）点眼し、点眼1時間後に前房穿刺し、刺激により増加する房水蛋白濃度の抑制率を算出した結果、試験製剤群及び標準製剤群は、生理食塩液群及びプラセボ群と比較して両製剤とも同様の有意な浮腫抑制効果が認められた。</w:t>
            </w:r>
          </w:p>
        </w:tc>
      </w:tr>
      <w:tr w:rsidR="002B5D81" w:rsidTr="001D2CAF">
        <w:trPr>
          <w:cantSplit/>
          <w:trHeight w:val="2164"/>
        </w:trPr>
        <w:tc>
          <w:tcPr>
            <w:tcW w:w="1844" w:type="dxa"/>
            <w:vMerge/>
            <w:tcBorders>
              <w:left w:val="single" w:sz="6" w:space="0" w:color="auto"/>
              <w:right w:val="single" w:sz="6" w:space="0" w:color="auto"/>
            </w:tcBorders>
            <w:vAlign w:val="center"/>
          </w:tcPr>
          <w:p w:rsidR="002B5D81" w:rsidRDefault="002B5D81">
            <w:pPr>
              <w:ind w:left="113" w:right="113"/>
              <w:jc w:val="distribute"/>
              <w:rPr>
                <w:rFonts w:ascii="ＭＳ ゴシック" w:eastAsia="ＭＳ ゴシック" w:hAnsi="ＭＳ ゴシック"/>
              </w:rPr>
            </w:pPr>
          </w:p>
        </w:tc>
        <w:tc>
          <w:tcPr>
            <w:tcW w:w="2895" w:type="dxa"/>
            <w:gridSpan w:val="2"/>
            <w:tcBorders>
              <w:top w:val="nil"/>
              <w:left w:val="single" w:sz="6" w:space="0" w:color="auto"/>
              <w:bottom w:val="nil"/>
              <w:right w:val="dotted" w:sz="4" w:space="0" w:color="auto"/>
            </w:tcBorders>
          </w:tcPr>
          <w:p w:rsidR="002B5D81" w:rsidRPr="00A76F05" w:rsidRDefault="00B6142A" w:rsidP="00312F16">
            <w:pPr>
              <w:spacing w:line="240" w:lineRule="exact"/>
              <w:rPr>
                <w:rFonts w:ascii="ＭＳ 明朝" w:hAnsi="ＭＳ 明朝"/>
                <w:sz w:val="20"/>
                <w:szCs w:val="20"/>
              </w:rPr>
            </w:pPr>
            <w:r>
              <w:rPr>
                <w:rFonts w:ascii="ＭＳ 明朝" w:hAnsi="ＭＳ 明朝"/>
                <w:noProof/>
                <w:sz w:val="20"/>
                <w:szCs w:val="20"/>
              </w:rPr>
              <w:drawing>
                <wp:anchor distT="0" distB="0" distL="114300" distR="114300" simplePos="0" relativeHeight="251658752" behindDoc="0" locked="0" layoutInCell="1" allowOverlap="1">
                  <wp:simplePos x="0" y="0"/>
                  <wp:positionH relativeFrom="column">
                    <wp:posOffset>1775460</wp:posOffset>
                  </wp:positionH>
                  <wp:positionV relativeFrom="paragraph">
                    <wp:posOffset>57150</wp:posOffset>
                  </wp:positionV>
                  <wp:extent cx="2040890" cy="1310640"/>
                  <wp:effectExtent l="0" t="0" r="0" b="3810"/>
                  <wp:wrapNone/>
                  <wp:docPr id="136" name="図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089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sz w:val="20"/>
                <w:szCs w:val="20"/>
              </w:rPr>
              <w:drawing>
                <wp:anchor distT="0" distB="0" distL="114300" distR="114300" simplePos="0" relativeHeight="251657728" behindDoc="0" locked="0" layoutInCell="1" allowOverlap="1">
                  <wp:simplePos x="0" y="0"/>
                  <wp:positionH relativeFrom="column">
                    <wp:posOffset>-64135</wp:posOffset>
                  </wp:positionH>
                  <wp:positionV relativeFrom="paragraph">
                    <wp:posOffset>109220</wp:posOffset>
                  </wp:positionV>
                  <wp:extent cx="1937385" cy="1211580"/>
                  <wp:effectExtent l="0" t="0" r="0" b="0"/>
                  <wp:wrapNone/>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738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6" w:type="dxa"/>
            <w:gridSpan w:val="2"/>
            <w:tcBorders>
              <w:top w:val="nil"/>
              <w:left w:val="dotted" w:sz="4" w:space="0" w:color="auto"/>
              <w:bottom w:val="nil"/>
              <w:right w:val="dotted" w:sz="4" w:space="0" w:color="auto"/>
            </w:tcBorders>
          </w:tcPr>
          <w:p w:rsidR="002B5D81" w:rsidRPr="00A76F05" w:rsidRDefault="00B6142A" w:rsidP="00312F16">
            <w:pPr>
              <w:spacing w:line="240" w:lineRule="exact"/>
              <w:rPr>
                <w:rFonts w:ascii="ＭＳ 明朝" w:hAnsi="ＭＳ 明朝"/>
                <w:sz w:val="20"/>
                <w:szCs w:val="20"/>
              </w:rPr>
            </w:pPr>
            <w:r>
              <w:rPr>
                <w:rFonts w:ascii="ＭＳ ゴシック" w:eastAsia="ＭＳ ゴシック"/>
                <w:noProof/>
                <w:sz w:val="20"/>
                <w:szCs w:val="20"/>
              </w:rPr>
              <w:drawing>
                <wp:anchor distT="0" distB="0" distL="114300" distR="114300" simplePos="0" relativeHeight="251656704" behindDoc="1" locked="0" layoutInCell="1" allowOverlap="1">
                  <wp:simplePos x="0" y="0"/>
                  <wp:positionH relativeFrom="column">
                    <wp:posOffset>1689100</wp:posOffset>
                  </wp:positionH>
                  <wp:positionV relativeFrom="paragraph">
                    <wp:posOffset>57150</wp:posOffset>
                  </wp:positionV>
                  <wp:extent cx="2198370" cy="1381125"/>
                  <wp:effectExtent l="0" t="0" r="0" b="0"/>
                  <wp:wrapNone/>
                  <wp:docPr id="134" name="図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837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7" w:type="dxa"/>
            <w:tcBorders>
              <w:top w:val="nil"/>
              <w:left w:val="dotted" w:sz="4" w:space="0" w:color="auto"/>
              <w:bottom w:val="nil"/>
              <w:right w:val="single" w:sz="6" w:space="0" w:color="auto"/>
            </w:tcBorders>
          </w:tcPr>
          <w:p w:rsidR="002B5D81" w:rsidRPr="00050F80" w:rsidRDefault="002B5D81" w:rsidP="00426660">
            <w:pPr>
              <w:spacing w:line="240" w:lineRule="exact"/>
              <w:jc w:val="center"/>
              <w:rPr>
                <w:rFonts w:ascii="ＭＳ ゴシック" w:eastAsia="ＭＳ ゴシック"/>
                <w:sz w:val="20"/>
                <w:szCs w:val="20"/>
              </w:rPr>
            </w:pPr>
          </w:p>
        </w:tc>
      </w:tr>
      <w:tr w:rsidR="002B5D81" w:rsidTr="001558DB">
        <w:trPr>
          <w:cantSplit/>
          <w:trHeight w:val="572"/>
        </w:trPr>
        <w:tc>
          <w:tcPr>
            <w:tcW w:w="1844" w:type="dxa"/>
            <w:vMerge/>
            <w:tcBorders>
              <w:left w:val="single" w:sz="6" w:space="0" w:color="auto"/>
              <w:right w:val="single" w:sz="6" w:space="0" w:color="auto"/>
            </w:tcBorders>
            <w:vAlign w:val="center"/>
          </w:tcPr>
          <w:p w:rsidR="002B5D81" w:rsidRDefault="002B5D81">
            <w:pPr>
              <w:ind w:left="113" w:right="113"/>
              <w:jc w:val="distribute"/>
              <w:rPr>
                <w:rFonts w:ascii="ＭＳ ゴシック" w:eastAsia="ＭＳ ゴシック" w:hAnsi="ＭＳ ゴシック"/>
              </w:rPr>
            </w:pPr>
          </w:p>
        </w:tc>
        <w:tc>
          <w:tcPr>
            <w:tcW w:w="2895" w:type="dxa"/>
            <w:gridSpan w:val="2"/>
            <w:tcBorders>
              <w:top w:val="nil"/>
              <w:left w:val="single" w:sz="6" w:space="0" w:color="auto"/>
              <w:bottom w:val="nil"/>
              <w:right w:val="dotted" w:sz="4" w:space="0" w:color="auto"/>
            </w:tcBorders>
            <w:vAlign w:val="center"/>
          </w:tcPr>
          <w:p w:rsidR="002B5D81" w:rsidRPr="002B5D81" w:rsidRDefault="002B5D81" w:rsidP="002B5D81">
            <w:pPr>
              <w:spacing w:line="240" w:lineRule="exact"/>
              <w:rPr>
                <w:rFonts w:ascii="ＭＳ ゴシック" w:eastAsia="ＭＳ ゴシック" w:hAnsi="ＭＳ ゴシック"/>
                <w:spacing w:val="8"/>
                <w:sz w:val="18"/>
                <w:u w:val="single"/>
              </w:rPr>
            </w:pPr>
          </w:p>
        </w:tc>
        <w:tc>
          <w:tcPr>
            <w:tcW w:w="2896" w:type="dxa"/>
            <w:gridSpan w:val="2"/>
            <w:tcBorders>
              <w:top w:val="nil"/>
              <w:left w:val="dotted" w:sz="4" w:space="0" w:color="auto"/>
              <w:bottom w:val="nil"/>
              <w:right w:val="dotted" w:sz="4" w:space="0" w:color="auto"/>
            </w:tcBorders>
          </w:tcPr>
          <w:p w:rsidR="002B5D81" w:rsidRPr="00406CF4" w:rsidRDefault="002B5D81" w:rsidP="00FD5A75">
            <w:pPr>
              <w:autoSpaceDE w:val="0"/>
              <w:autoSpaceDN w:val="0"/>
              <w:adjustRightInd w:val="0"/>
              <w:snapToGrid w:val="0"/>
              <w:spacing w:line="160" w:lineRule="exact"/>
              <w:ind w:leftChars="10" w:left="21"/>
              <w:rPr>
                <w:rFonts w:ascii="ＭＳ ゴシック" w:eastAsia="ＭＳ ゴシック" w:hAnsi="ＭＳ ゴシック" w:cs="MS-PGothic"/>
                <w:kern w:val="0"/>
                <w:sz w:val="8"/>
                <w:szCs w:val="8"/>
              </w:rPr>
            </w:pPr>
            <w:r w:rsidRPr="00406CF4">
              <w:rPr>
                <w:rFonts w:ascii="ＭＳ ゴシック" w:eastAsia="ＭＳ ゴシック" w:hAnsi="ＭＳ ゴシック" w:cs="MS-PGothic" w:hint="eastAsia"/>
                <w:kern w:val="0"/>
                <w:sz w:val="8"/>
                <w:szCs w:val="8"/>
              </w:rPr>
              <w:t xml:space="preserve">** </w:t>
            </w:r>
            <w:r w:rsidRPr="00406CF4">
              <w:rPr>
                <w:rFonts w:ascii="ＭＳ ゴシック" w:eastAsia="ＭＳ ゴシック" w:hAnsi="ＭＳ ゴシック" w:cs="MS-PGothic"/>
                <w:kern w:val="0"/>
                <w:sz w:val="8"/>
                <w:szCs w:val="8"/>
              </w:rPr>
              <w:t>P</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PGothic"/>
                <w:kern w:val="0"/>
                <w:sz w:val="8"/>
                <w:szCs w:val="8"/>
              </w:rPr>
              <w:t>0.01</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Gothic" w:hint="eastAsia"/>
                <w:kern w:val="0"/>
                <w:sz w:val="8"/>
                <w:szCs w:val="8"/>
              </w:rPr>
              <w:t>生理食塩液群</w:t>
            </w:r>
            <w:r w:rsidRPr="00406CF4">
              <w:rPr>
                <w:rFonts w:ascii="ＭＳ ゴシック" w:eastAsia="ＭＳ ゴシック" w:hAnsi="ＭＳ ゴシック" w:cs="MS-PGothic" w:hint="eastAsia"/>
                <w:kern w:val="0"/>
                <w:sz w:val="8"/>
                <w:szCs w:val="8"/>
              </w:rPr>
              <w:t>との間でTukeyによる多重比較検定で有意差あり</w:t>
            </w:r>
          </w:p>
          <w:p w:rsidR="002B5D81" w:rsidRPr="00406CF4" w:rsidRDefault="002B5D81" w:rsidP="00FD5A75">
            <w:pPr>
              <w:autoSpaceDE w:val="0"/>
              <w:autoSpaceDN w:val="0"/>
              <w:adjustRightInd w:val="0"/>
              <w:snapToGrid w:val="0"/>
              <w:spacing w:line="160" w:lineRule="exact"/>
              <w:ind w:leftChars="10" w:left="21"/>
              <w:rPr>
                <w:rFonts w:ascii="ＭＳ ゴシック" w:eastAsia="ＭＳ ゴシック" w:hAnsi="ＭＳ ゴシック" w:cs="MS-PGothic"/>
                <w:kern w:val="0"/>
                <w:sz w:val="8"/>
                <w:szCs w:val="8"/>
              </w:rPr>
            </w:pPr>
            <w:r w:rsidRPr="00406CF4">
              <w:rPr>
                <w:rFonts w:ascii="ＭＳ ゴシック" w:eastAsia="ＭＳ ゴシック" w:hAnsi="ＭＳ ゴシック" w:cs="MS-PGothic" w:hint="eastAsia"/>
                <w:kern w:val="0"/>
                <w:sz w:val="8"/>
                <w:szCs w:val="8"/>
              </w:rPr>
              <w:t xml:space="preserve">## </w:t>
            </w:r>
            <w:r w:rsidRPr="00406CF4">
              <w:rPr>
                <w:rFonts w:ascii="ＭＳ ゴシック" w:eastAsia="ＭＳ ゴシック" w:hAnsi="ＭＳ ゴシック" w:cs="MS-PGothic"/>
                <w:kern w:val="0"/>
                <w:sz w:val="8"/>
                <w:szCs w:val="8"/>
              </w:rPr>
              <w:t>P</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PGothic"/>
                <w:kern w:val="0"/>
                <w:sz w:val="8"/>
                <w:szCs w:val="8"/>
              </w:rPr>
              <w:t>0.01</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Gothic" w:hint="eastAsia"/>
                <w:kern w:val="0"/>
                <w:sz w:val="8"/>
                <w:szCs w:val="8"/>
              </w:rPr>
              <w:t>プラセボ群</w:t>
            </w:r>
            <w:r w:rsidRPr="00406CF4">
              <w:rPr>
                <w:rFonts w:ascii="ＭＳ ゴシック" w:eastAsia="ＭＳ ゴシック" w:hAnsi="ＭＳ ゴシック" w:cs="MS-PGothic" w:hint="eastAsia"/>
                <w:kern w:val="0"/>
                <w:sz w:val="8"/>
                <w:szCs w:val="8"/>
              </w:rPr>
              <w:t>との間でTukeyによる多重比較検定で有意差あり</w:t>
            </w:r>
          </w:p>
          <w:p w:rsidR="00384DF5" w:rsidRDefault="002B5D81" w:rsidP="00FD5A75">
            <w:pPr>
              <w:spacing w:line="160" w:lineRule="exact"/>
              <w:rPr>
                <w:rFonts w:ascii="ＭＳ ゴシック" w:eastAsia="ＭＳ ゴシック" w:hAnsi="ＭＳ ゴシック" w:cs="MS-PGothic"/>
                <w:kern w:val="0"/>
                <w:sz w:val="8"/>
                <w:szCs w:val="8"/>
              </w:rPr>
            </w:pPr>
            <w:r w:rsidRPr="002B5D81">
              <w:rPr>
                <w:rFonts w:ascii="ＭＳ ゴシック" w:eastAsia="ＭＳ ゴシック" w:hAnsi="ＭＳ ゴシック" w:cs="MS-Gothic" w:hint="eastAsia"/>
                <w:kern w:val="0"/>
                <w:sz w:val="8"/>
                <w:szCs w:val="8"/>
              </w:rPr>
              <w:t>ブロムフェナクNa点眼液</w:t>
            </w:r>
            <w:r w:rsidRPr="002B5D81">
              <w:rPr>
                <w:rFonts w:ascii="ＭＳ ゴシック" w:eastAsia="ＭＳ ゴシック" w:hAnsi="ＭＳ ゴシック" w:cs="MS-Gothic"/>
                <w:kern w:val="0"/>
                <w:sz w:val="8"/>
                <w:szCs w:val="8"/>
              </w:rPr>
              <w:t>0.1</w:t>
            </w:r>
            <w:r w:rsidRPr="002B5D81">
              <w:rPr>
                <w:rFonts w:ascii="ＭＳ ゴシック" w:eastAsia="ＭＳ ゴシック" w:hAnsi="ＭＳ ゴシック" w:cs="MS-Gothic" w:hint="eastAsia"/>
                <w:kern w:val="0"/>
                <w:sz w:val="8"/>
                <w:szCs w:val="8"/>
              </w:rPr>
              <w:t>％「日新」群と標準製剤群との間で</w:t>
            </w:r>
            <w:r w:rsidRPr="002B5D81">
              <w:rPr>
                <w:rFonts w:ascii="ＭＳ ゴシック" w:eastAsia="ＭＳ ゴシック" w:hAnsi="ＭＳ ゴシック" w:cs="MS-PGothic" w:hint="eastAsia"/>
                <w:kern w:val="0"/>
                <w:sz w:val="8"/>
                <w:szCs w:val="8"/>
              </w:rPr>
              <w:t>Tukeyによる多重比較検</w:t>
            </w:r>
          </w:p>
          <w:p w:rsidR="002B5D81" w:rsidRPr="002B5D81" w:rsidRDefault="002B5D81" w:rsidP="00384DF5">
            <w:pPr>
              <w:spacing w:line="80" w:lineRule="exact"/>
              <w:rPr>
                <w:rFonts w:ascii="ＭＳ ゴシック" w:eastAsia="ＭＳ ゴシック" w:hAnsi="ＭＳ ゴシック" w:cs="MS-PGothic"/>
                <w:kern w:val="0"/>
                <w:sz w:val="12"/>
                <w:szCs w:val="12"/>
              </w:rPr>
            </w:pPr>
            <w:r w:rsidRPr="002B5D81">
              <w:rPr>
                <w:rFonts w:ascii="ＭＳ ゴシック" w:eastAsia="ＭＳ ゴシック" w:hAnsi="ＭＳ ゴシック" w:cs="MS-PGothic" w:hint="eastAsia"/>
                <w:kern w:val="0"/>
                <w:sz w:val="8"/>
                <w:szCs w:val="8"/>
              </w:rPr>
              <w:t>定で有意差なし</w:t>
            </w:r>
          </w:p>
        </w:tc>
        <w:tc>
          <w:tcPr>
            <w:tcW w:w="2897" w:type="dxa"/>
            <w:tcBorders>
              <w:top w:val="nil"/>
              <w:left w:val="dotted" w:sz="4" w:space="0" w:color="auto"/>
              <w:bottom w:val="nil"/>
              <w:right w:val="single" w:sz="6" w:space="0" w:color="auto"/>
            </w:tcBorders>
          </w:tcPr>
          <w:p w:rsidR="002B5D81" w:rsidRPr="00406CF4" w:rsidRDefault="002B5D81" w:rsidP="001558DB">
            <w:pPr>
              <w:autoSpaceDE w:val="0"/>
              <w:autoSpaceDN w:val="0"/>
              <w:adjustRightInd w:val="0"/>
              <w:snapToGrid w:val="0"/>
              <w:spacing w:line="160" w:lineRule="exact"/>
              <w:ind w:leftChars="10" w:left="21"/>
              <w:rPr>
                <w:rFonts w:ascii="ＭＳ ゴシック" w:eastAsia="ＭＳ ゴシック" w:hAnsi="ＭＳ ゴシック" w:cs="MS-PGothic"/>
                <w:kern w:val="0"/>
                <w:sz w:val="8"/>
                <w:szCs w:val="8"/>
              </w:rPr>
            </w:pPr>
            <w:r w:rsidRPr="00406CF4">
              <w:rPr>
                <w:rFonts w:ascii="ＭＳ ゴシック" w:eastAsia="ＭＳ ゴシック" w:hAnsi="ＭＳ ゴシック" w:cs="MS-PGothic" w:hint="eastAsia"/>
                <w:kern w:val="0"/>
                <w:sz w:val="8"/>
                <w:szCs w:val="8"/>
              </w:rPr>
              <w:t xml:space="preserve">** </w:t>
            </w:r>
            <w:r w:rsidRPr="00406CF4">
              <w:rPr>
                <w:rFonts w:ascii="ＭＳ ゴシック" w:eastAsia="ＭＳ ゴシック" w:hAnsi="ＭＳ ゴシック" w:cs="MS-PGothic"/>
                <w:kern w:val="0"/>
                <w:sz w:val="8"/>
                <w:szCs w:val="8"/>
              </w:rPr>
              <w:t>P</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PGothic"/>
                <w:kern w:val="0"/>
                <w:sz w:val="8"/>
                <w:szCs w:val="8"/>
              </w:rPr>
              <w:t>0.01</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Gothic" w:hint="eastAsia"/>
                <w:kern w:val="0"/>
                <w:sz w:val="8"/>
                <w:szCs w:val="8"/>
              </w:rPr>
              <w:t>生理食塩液群</w:t>
            </w:r>
            <w:r w:rsidRPr="00406CF4">
              <w:rPr>
                <w:rFonts w:ascii="ＭＳ ゴシック" w:eastAsia="ＭＳ ゴシック" w:hAnsi="ＭＳ ゴシック" w:cs="MS-PGothic" w:hint="eastAsia"/>
                <w:kern w:val="0"/>
                <w:sz w:val="8"/>
                <w:szCs w:val="8"/>
              </w:rPr>
              <w:t>との間でTukeyによる多重比較検定で有意差あり</w:t>
            </w:r>
          </w:p>
          <w:p w:rsidR="002B5D81" w:rsidRPr="00406CF4" w:rsidRDefault="002B5D81" w:rsidP="001558DB">
            <w:pPr>
              <w:autoSpaceDE w:val="0"/>
              <w:autoSpaceDN w:val="0"/>
              <w:adjustRightInd w:val="0"/>
              <w:snapToGrid w:val="0"/>
              <w:spacing w:line="160" w:lineRule="exact"/>
              <w:ind w:leftChars="10" w:left="21"/>
              <w:rPr>
                <w:rFonts w:ascii="ＭＳ ゴシック" w:eastAsia="ＭＳ ゴシック" w:hAnsi="ＭＳ ゴシック" w:cs="MS-PGothic"/>
                <w:kern w:val="0"/>
                <w:sz w:val="8"/>
                <w:szCs w:val="8"/>
              </w:rPr>
            </w:pPr>
            <w:r w:rsidRPr="00406CF4">
              <w:rPr>
                <w:rFonts w:ascii="ＭＳ ゴシック" w:eastAsia="ＭＳ ゴシック" w:hAnsi="ＭＳ ゴシック" w:cs="MS-PGothic" w:hint="eastAsia"/>
                <w:kern w:val="0"/>
                <w:sz w:val="8"/>
                <w:szCs w:val="8"/>
              </w:rPr>
              <w:t xml:space="preserve">## </w:t>
            </w:r>
            <w:r w:rsidRPr="00406CF4">
              <w:rPr>
                <w:rFonts w:ascii="ＭＳ ゴシック" w:eastAsia="ＭＳ ゴシック" w:hAnsi="ＭＳ ゴシック" w:cs="MS-PGothic"/>
                <w:kern w:val="0"/>
                <w:sz w:val="8"/>
                <w:szCs w:val="8"/>
              </w:rPr>
              <w:t>P</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PGothic"/>
                <w:kern w:val="0"/>
                <w:sz w:val="8"/>
                <w:szCs w:val="8"/>
              </w:rPr>
              <w:t>0.01</w:t>
            </w:r>
            <w:r w:rsidRPr="00406CF4">
              <w:rPr>
                <w:rFonts w:ascii="ＭＳ ゴシック" w:eastAsia="ＭＳ ゴシック" w:hAnsi="ＭＳ ゴシック" w:cs="MS-PGothic" w:hint="eastAsia"/>
                <w:kern w:val="0"/>
                <w:sz w:val="8"/>
                <w:szCs w:val="8"/>
              </w:rPr>
              <w:t>，</w:t>
            </w:r>
            <w:r w:rsidRPr="00406CF4">
              <w:rPr>
                <w:rFonts w:ascii="ＭＳ ゴシック" w:eastAsia="ＭＳ ゴシック" w:hAnsi="ＭＳ ゴシック" w:cs="MS-Gothic" w:hint="eastAsia"/>
                <w:kern w:val="0"/>
                <w:sz w:val="8"/>
                <w:szCs w:val="8"/>
              </w:rPr>
              <w:t>プラセボ群</w:t>
            </w:r>
            <w:r w:rsidRPr="00406CF4">
              <w:rPr>
                <w:rFonts w:ascii="ＭＳ ゴシック" w:eastAsia="ＭＳ ゴシック" w:hAnsi="ＭＳ ゴシック" w:cs="MS-PGothic" w:hint="eastAsia"/>
                <w:kern w:val="0"/>
                <w:sz w:val="8"/>
                <w:szCs w:val="8"/>
              </w:rPr>
              <w:t>との間でTukeyによる多重比較検定で有意差あり</w:t>
            </w:r>
          </w:p>
          <w:p w:rsidR="00384DF5" w:rsidRDefault="002B5D81" w:rsidP="001558DB">
            <w:pPr>
              <w:spacing w:line="160" w:lineRule="exact"/>
              <w:rPr>
                <w:rFonts w:ascii="ＭＳ ゴシック" w:eastAsia="ＭＳ ゴシック" w:hAnsi="ＭＳ ゴシック" w:cs="MS-PGothic"/>
                <w:kern w:val="0"/>
                <w:sz w:val="8"/>
                <w:szCs w:val="8"/>
              </w:rPr>
            </w:pPr>
            <w:r w:rsidRPr="002B5D81">
              <w:rPr>
                <w:rFonts w:ascii="ＭＳ ゴシック" w:eastAsia="ＭＳ ゴシック" w:hAnsi="ＭＳ ゴシック" w:cs="MS-Gothic" w:hint="eastAsia"/>
                <w:kern w:val="0"/>
                <w:sz w:val="8"/>
                <w:szCs w:val="8"/>
              </w:rPr>
              <w:t>ブロムフェナクNa点眼液</w:t>
            </w:r>
            <w:r w:rsidRPr="002B5D81">
              <w:rPr>
                <w:rFonts w:ascii="ＭＳ ゴシック" w:eastAsia="ＭＳ ゴシック" w:hAnsi="ＭＳ ゴシック" w:cs="MS-Gothic"/>
                <w:kern w:val="0"/>
                <w:sz w:val="8"/>
                <w:szCs w:val="8"/>
              </w:rPr>
              <w:t>0.1</w:t>
            </w:r>
            <w:r w:rsidRPr="002B5D81">
              <w:rPr>
                <w:rFonts w:ascii="ＭＳ ゴシック" w:eastAsia="ＭＳ ゴシック" w:hAnsi="ＭＳ ゴシック" w:cs="MS-Gothic" w:hint="eastAsia"/>
                <w:kern w:val="0"/>
                <w:sz w:val="8"/>
                <w:szCs w:val="8"/>
              </w:rPr>
              <w:t>％「日新」群と標準製剤群との間で</w:t>
            </w:r>
            <w:r w:rsidRPr="002B5D81">
              <w:rPr>
                <w:rFonts w:ascii="ＭＳ ゴシック" w:eastAsia="ＭＳ ゴシック" w:hAnsi="ＭＳ ゴシック" w:cs="MS-PGothic" w:hint="eastAsia"/>
                <w:kern w:val="0"/>
                <w:sz w:val="8"/>
                <w:szCs w:val="8"/>
              </w:rPr>
              <w:t>Tukeyによる多重比較検</w:t>
            </w:r>
          </w:p>
          <w:p w:rsidR="002B5D81" w:rsidRPr="002B5D81" w:rsidRDefault="002B5D81" w:rsidP="00384DF5">
            <w:pPr>
              <w:spacing w:line="80" w:lineRule="exact"/>
              <w:rPr>
                <w:rFonts w:ascii="ＭＳ ゴシック" w:eastAsia="ＭＳ ゴシック" w:hAnsi="ＭＳ ゴシック"/>
                <w:spacing w:val="8"/>
                <w:sz w:val="18"/>
                <w:u w:val="single"/>
              </w:rPr>
            </w:pPr>
            <w:r w:rsidRPr="002B5D81">
              <w:rPr>
                <w:rFonts w:ascii="ＭＳ ゴシック" w:eastAsia="ＭＳ ゴシック" w:hAnsi="ＭＳ ゴシック" w:cs="MS-PGothic" w:hint="eastAsia"/>
                <w:kern w:val="0"/>
                <w:sz w:val="8"/>
                <w:szCs w:val="8"/>
              </w:rPr>
              <w:t>定で有意差なし</w:t>
            </w:r>
          </w:p>
        </w:tc>
      </w:tr>
      <w:tr w:rsidR="002B5D81" w:rsidTr="002B5D81">
        <w:trPr>
          <w:cantSplit/>
          <w:trHeight w:val="227"/>
        </w:trPr>
        <w:tc>
          <w:tcPr>
            <w:tcW w:w="1844" w:type="dxa"/>
            <w:vMerge/>
            <w:tcBorders>
              <w:left w:val="single" w:sz="6" w:space="0" w:color="auto"/>
              <w:right w:val="single" w:sz="6" w:space="0" w:color="auto"/>
            </w:tcBorders>
            <w:vAlign w:val="center"/>
          </w:tcPr>
          <w:p w:rsidR="002B5D81" w:rsidRDefault="002B5D81">
            <w:pPr>
              <w:ind w:left="113" w:right="113"/>
              <w:jc w:val="distribute"/>
              <w:rPr>
                <w:rFonts w:ascii="ＭＳ ゴシック" w:eastAsia="ＭＳ ゴシック" w:hAnsi="ＭＳ ゴシック"/>
              </w:rPr>
            </w:pPr>
          </w:p>
        </w:tc>
        <w:tc>
          <w:tcPr>
            <w:tcW w:w="8688" w:type="dxa"/>
            <w:gridSpan w:val="5"/>
            <w:tcBorders>
              <w:top w:val="nil"/>
              <w:left w:val="single" w:sz="6" w:space="0" w:color="auto"/>
              <w:bottom w:val="single" w:sz="4" w:space="0" w:color="auto"/>
              <w:right w:val="single" w:sz="6" w:space="0" w:color="auto"/>
            </w:tcBorders>
            <w:vAlign w:val="center"/>
          </w:tcPr>
          <w:p w:rsidR="002B5D81" w:rsidRDefault="002B5D81" w:rsidP="000D7EC3">
            <w:pPr>
              <w:spacing w:line="240" w:lineRule="exact"/>
              <w:ind w:right="404"/>
              <w:jc w:val="left"/>
              <w:rPr>
                <w:rFonts w:ascii="ＭＳ 明朝" w:hAnsi="ＭＳ 明朝"/>
                <w:color w:val="000000"/>
                <w:spacing w:val="8"/>
                <w:sz w:val="20"/>
                <w:szCs w:val="20"/>
              </w:rPr>
            </w:pPr>
            <w:r>
              <w:rPr>
                <w:rFonts w:ascii="ＭＳ 明朝" w:hAnsi="ＭＳ 明朝" w:hint="eastAsia"/>
                <w:color w:val="000000"/>
                <w:spacing w:val="8"/>
                <w:sz w:val="20"/>
                <w:szCs w:val="20"/>
              </w:rPr>
              <w:t>これらの試験の結果から、両剤は同等であるとして厚生労働省から承認されている。</w:t>
            </w:r>
          </w:p>
        </w:tc>
      </w:tr>
      <w:tr w:rsidR="002245A4" w:rsidTr="002B5D81">
        <w:trPr>
          <w:cantSplit/>
          <w:trHeight w:val="340"/>
        </w:trPr>
        <w:tc>
          <w:tcPr>
            <w:tcW w:w="1844" w:type="dxa"/>
            <w:vMerge w:val="restart"/>
            <w:tcBorders>
              <w:left w:val="single" w:sz="6" w:space="0" w:color="auto"/>
              <w:right w:val="single" w:sz="6" w:space="0" w:color="auto"/>
            </w:tcBorders>
            <w:vAlign w:val="center"/>
          </w:tcPr>
          <w:p w:rsidR="002245A4" w:rsidRDefault="002245A4" w:rsidP="00B6142A">
            <w:pPr>
              <w:spacing w:beforeLines="10" w:before="30" w:line="240" w:lineRule="exact"/>
              <w:ind w:left="113" w:right="113"/>
              <w:jc w:val="distribute"/>
              <w:rPr>
                <w:rFonts w:ascii="ＭＳ ゴシック" w:eastAsia="ＭＳ ゴシック" w:hAnsi="ＭＳ ゴシック"/>
                <w:sz w:val="21"/>
              </w:rPr>
            </w:pPr>
            <w:r>
              <w:rPr>
                <w:rFonts w:ascii="ＭＳ ゴシック" w:eastAsia="ＭＳ ゴシック" w:hAnsi="ＭＳ ゴシック" w:hint="eastAsia"/>
                <w:sz w:val="21"/>
              </w:rPr>
              <w:t>無包装状態</w:t>
            </w:r>
          </w:p>
          <w:p w:rsidR="002245A4" w:rsidRDefault="002245A4">
            <w:pPr>
              <w:spacing w:line="220" w:lineRule="exact"/>
              <w:ind w:left="113" w:right="113"/>
              <w:jc w:val="distribute"/>
              <w:rPr>
                <w:rFonts w:ascii="ＭＳ ゴシック" w:eastAsia="ＭＳ ゴシック" w:hAnsi="ＭＳ ゴシック"/>
              </w:rPr>
            </w:pPr>
            <w:r>
              <w:rPr>
                <w:rFonts w:ascii="ＭＳ ゴシック" w:eastAsia="ＭＳ ゴシック" w:hAnsi="ＭＳ ゴシック" w:hint="eastAsia"/>
                <w:sz w:val="21"/>
              </w:rPr>
              <w:t>での安定性</w:t>
            </w:r>
          </w:p>
          <w:p w:rsidR="002245A4" w:rsidRDefault="002245A4" w:rsidP="00B6142A">
            <w:pPr>
              <w:spacing w:afterLines="10" w:after="30" w:line="220" w:lineRule="exact"/>
              <w:ind w:leftChars="55" w:left="409" w:right="113" w:hangingChars="200" w:hanging="295"/>
              <w:rPr>
                <w:rFonts w:ascii="ＭＳ ゴシック" w:eastAsia="ＭＳ ゴシック" w:hAnsi="ＭＳ ゴシック"/>
                <w:w w:val="50"/>
              </w:rPr>
            </w:pPr>
            <w:r>
              <w:rPr>
                <w:rFonts w:ascii="ＭＳ ゴシック" w:eastAsia="ＭＳ ゴシック" w:hAnsi="ＭＳ ゴシック" w:hint="eastAsia"/>
                <w:sz w:val="16"/>
              </w:rPr>
              <w:t>（外観 含量 硬度　崩壊性 溶出性）</w:t>
            </w:r>
            <w:r>
              <w:rPr>
                <w:rFonts w:ascii="ＭＳ ゴシック" w:eastAsia="ＭＳ ゴシック" w:hAnsi="ＭＳ ゴシック" w:hint="eastAsia"/>
                <w:w w:val="50"/>
              </w:rPr>
              <w:t xml:space="preserve">　　</w:t>
            </w:r>
          </w:p>
        </w:tc>
        <w:tc>
          <w:tcPr>
            <w:tcW w:w="8688" w:type="dxa"/>
            <w:gridSpan w:val="5"/>
            <w:tcBorders>
              <w:top w:val="single" w:sz="4" w:space="0" w:color="auto"/>
              <w:left w:val="single" w:sz="6" w:space="0" w:color="auto"/>
              <w:bottom w:val="dotted" w:sz="4" w:space="0" w:color="auto"/>
              <w:right w:val="single" w:sz="6" w:space="0" w:color="auto"/>
            </w:tcBorders>
            <w:vAlign w:val="center"/>
          </w:tcPr>
          <w:p w:rsidR="002245A4" w:rsidRDefault="002245A4" w:rsidP="00934C6A">
            <w:pPr>
              <w:spacing w:line="240" w:lineRule="exact"/>
              <w:rPr>
                <w:rFonts w:ascii="ＭＳ 明朝" w:hAnsi="ＭＳ 明朝"/>
                <w:sz w:val="20"/>
              </w:rPr>
            </w:pPr>
          </w:p>
        </w:tc>
      </w:tr>
      <w:tr w:rsidR="002245A4" w:rsidTr="002B5D81">
        <w:trPr>
          <w:cantSplit/>
          <w:trHeight w:val="340"/>
        </w:trPr>
        <w:tc>
          <w:tcPr>
            <w:tcW w:w="1844" w:type="dxa"/>
            <w:vMerge/>
            <w:tcBorders>
              <w:left w:val="single" w:sz="6" w:space="0" w:color="auto"/>
              <w:right w:val="single" w:sz="6" w:space="0" w:color="auto"/>
            </w:tcBorders>
            <w:vAlign w:val="center"/>
          </w:tcPr>
          <w:p w:rsidR="002245A4" w:rsidRDefault="002245A4">
            <w:pPr>
              <w:spacing w:line="240" w:lineRule="exact"/>
              <w:ind w:left="113" w:right="113"/>
              <w:jc w:val="distribute"/>
              <w:rPr>
                <w:rFonts w:ascii="ＭＳ ゴシック" w:eastAsia="ＭＳ ゴシック" w:hAnsi="ＭＳ ゴシック"/>
              </w:rPr>
            </w:pPr>
          </w:p>
        </w:tc>
        <w:tc>
          <w:tcPr>
            <w:tcW w:w="8688" w:type="dxa"/>
            <w:gridSpan w:val="5"/>
            <w:tcBorders>
              <w:top w:val="dotted" w:sz="4" w:space="0" w:color="auto"/>
              <w:left w:val="single" w:sz="6" w:space="0" w:color="auto"/>
              <w:bottom w:val="dotted" w:sz="4" w:space="0" w:color="auto"/>
              <w:right w:val="single" w:sz="6" w:space="0" w:color="auto"/>
            </w:tcBorders>
            <w:vAlign w:val="center"/>
          </w:tcPr>
          <w:p w:rsidR="002245A4" w:rsidRDefault="002245A4" w:rsidP="00934C6A">
            <w:pPr>
              <w:spacing w:line="240" w:lineRule="exact"/>
              <w:rPr>
                <w:rFonts w:ascii="ＭＳ 明朝" w:hAnsi="ＭＳ 明朝"/>
                <w:sz w:val="20"/>
              </w:rPr>
            </w:pPr>
          </w:p>
        </w:tc>
      </w:tr>
      <w:tr w:rsidR="002245A4" w:rsidTr="002B5D81">
        <w:trPr>
          <w:cantSplit/>
          <w:trHeight w:val="340"/>
        </w:trPr>
        <w:tc>
          <w:tcPr>
            <w:tcW w:w="1844" w:type="dxa"/>
            <w:vMerge/>
            <w:tcBorders>
              <w:left w:val="single" w:sz="6" w:space="0" w:color="auto"/>
              <w:right w:val="single" w:sz="6" w:space="0" w:color="auto"/>
            </w:tcBorders>
            <w:vAlign w:val="center"/>
          </w:tcPr>
          <w:p w:rsidR="002245A4" w:rsidRDefault="002245A4">
            <w:pPr>
              <w:spacing w:line="240" w:lineRule="exact"/>
              <w:ind w:left="113" w:right="113"/>
              <w:jc w:val="distribute"/>
              <w:rPr>
                <w:rFonts w:ascii="ＭＳ ゴシック" w:eastAsia="ＭＳ ゴシック" w:hAnsi="ＭＳ ゴシック"/>
              </w:rPr>
            </w:pPr>
          </w:p>
        </w:tc>
        <w:tc>
          <w:tcPr>
            <w:tcW w:w="8688" w:type="dxa"/>
            <w:gridSpan w:val="5"/>
            <w:tcBorders>
              <w:top w:val="dotted" w:sz="4" w:space="0" w:color="auto"/>
              <w:left w:val="single" w:sz="6" w:space="0" w:color="auto"/>
              <w:bottom w:val="single" w:sz="4" w:space="0" w:color="auto"/>
              <w:right w:val="single" w:sz="6" w:space="0" w:color="auto"/>
            </w:tcBorders>
            <w:vAlign w:val="center"/>
          </w:tcPr>
          <w:p w:rsidR="002245A4" w:rsidRDefault="002245A4" w:rsidP="00934C6A">
            <w:pPr>
              <w:spacing w:line="240" w:lineRule="exact"/>
              <w:rPr>
                <w:rFonts w:ascii="ＭＳ 明朝" w:hAnsi="ＭＳ 明朝"/>
                <w:sz w:val="20"/>
              </w:rPr>
            </w:pPr>
          </w:p>
        </w:tc>
      </w:tr>
      <w:tr w:rsidR="002245A4" w:rsidTr="002B5D81">
        <w:trPr>
          <w:cantSplit/>
          <w:trHeight w:val="340"/>
        </w:trPr>
        <w:tc>
          <w:tcPr>
            <w:tcW w:w="1844" w:type="dxa"/>
            <w:tcBorders>
              <w:left w:val="single" w:sz="6" w:space="0" w:color="auto"/>
              <w:bottom w:val="single" w:sz="6" w:space="0" w:color="auto"/>
              <w:right w:val="single" w:sz="6" w:space="0" w:color="auto"/>
            </w:tcBorders>
            <w:vAlign w:val="center"/>
          </w:tcPr>
          <w:p w:rsidR="002245A4" w:rsidRDefault="002245A4" w:rsidP="00934C6A">
            <w:pPr>
              <w:spacing w:line="240" w:lineRule="exact"/>
              <w:ind w:left="113" w:right="113"/>
              <w:jc w:val="distribute"/>
              <w:rPr>
                <w:rFonts w:ascii="ＭＳ ゴシック" w:eastAsia="ＭＳ ゴシック" w:hAnsi="ＭＳ ゴシック"/>
                <w:w w:val="90"/>
              </w:rPr>
            </w:pPr>
            <w:r>
              <w:rPr>
                <w:rFonts w:ascii="ＭＳ ゴシック" w:eastAsia="ＭＳ ゴシック" w:hAnsi="ＭＳ ゴシック" w:hint="eastAsia"/>
                <w:w w:val="90"/>
              </w:rPr>
              <w:t>担当者、連絡先</w:t>
            </w:r>
          </w:p>
        </w:tc>
        <w:tc>
          <w:tcPr>
            <w:tcW w:w="8688" w:type="dxa"/>
            <w:gridSpan w:val="5"/>
            <w:tcBorders>
              <w:left w:val="single" w:sz="6" w:space="0" w:color="auto"/>
              <w:bottom w:val="single" w:sz="6" w:space="0" w:color="auto"/>
              <w:right w:val="single" w:sz="6" w:space="0" w:color="auto"/>
            </w:tcBorders>
            <w:vAlign w:val="center"/>
          </w:tcPr>
          <w:p w:rsidR="002245A4" w:rsidRDefault="002245A4" w:rsidP="00934C6A">
            <w:pPr>
              <w:spacing w:line="240" w:lineRule="exact"/>
              <w:rPr>
                <w:rFonts w:ascii="ＭＳ 明朝" w:hAnsi="ＭＳ 明朝"/>
                <w:sz w:val="21"/>
              </w:rPr>
            </w:pPr>
          </w:p>
        </w:tc>
      </w:tr>
    </w:tbl>
    <w:p w:rsidR="002245A4" w:rsidRDefault="00B55916" w:rsidP="00CE6A06">
      <w:pPr>
        <w:spacing w:line="260" w:lineRule="exact"/>
        <w:jc w:val="right"/>
        <w:rPr>
          <w:rFonts w:ascii="ＭＳ ゴシック" w:eastAsia="ＭＳ ゴシック" w:hAnsi="ＭＳ ゴシック"/>
        </w:rPr>
      </w:pPr>
      <w:r>
        <w:rPr>
          <w:rFonts w:ascii="ＭＳ ゴシック" w:eastAsia="ＭＳ ゴシック" w:hAnsi="ＭＳ ゴシック" w:hint="eastAsia"/>
        </w:rPr>
        <w:t>20</w:t>
      </w:r>
      <w:r w:rsidR="00CF2DFC">
        <w:rPr>
          <w:rFonts w:ascii="ＭＳ ゴシック" w:eastAsia="ＭＳ ゴシック" w:hAnsi="ＭＳ ゴシック"/>
        </w:rPr>
        <w:t>2</w:t>
      </w:r>
      <w:r w:rsidR="00E9096F">
        <w:rPr>
          <w:rFonts w:ascii="ＭＳ ゴシック" w:eastAsia="ＭＳ ゴシック" w:hAnsi="ＭＳ ゴシック" w:hint="eastAsia"/>
        </w:rPr>
        <w:t>5</w:t>
      </w:r>
      <w:r w:rsidR="002245A4">
        <w:rPr>
          <w:rFonts w:ascii="ＭＳ ゴシック" w:eastAsia="ＭＳ ゴシック" w:hAnsi="ＭＳ ゴシック" w:hint="eastAsia"/>
        </w:rPr>
        <w:t>年</w:t>
      </w:r>
      <w:r w:rsidR="00E578D0">
        <w:rPr>
          <w:rFonts w:ascii="ＭＳ ゴシック" w:eastAsia="ＭＳ ゴシック" w:hAnsi="ＭＳ ゴシック" w:hint="eastAsia"/>
        </w:rPr>
        <w:t>4</w:t>
      </w:r>
      <w:r w:rsidR="002245A4">
        <w:rPr>
          <w:rFonts w:ascii="ＭＳ ゴシック" w:eastAsia="ＭＳ ゴシック" w:hAnsi="ＭＳ ゴシック" w:hint="eastAsia"/>
        </w:rPr>
        <w:t>月</w:t>
      </w:r>
    </w:p>
    <w:sectPr w:rsidR="002245A4" w:rsidSect="00B6142A">
      <w:pgSz w:w="11906" w:h="16838" w:code="9"/>
      <w:pgMar w:top="340" w:right="516" w:bottom="510" w:left="1049" w:header="851" w:footer="992" w:gutter="0"/>
      <w:cols w:space="425"/>
      <w:docGrid w:type="linesAndChars" w:linePitch="301"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17" w:rsidRDefault="00C17617" w:rsidP="0011789B">
      <w:r>
        <w:separator/>
      </w:r>
    </w:p>
  </w:endnote>
  <w:endnote w:type="continuationSeparator" w:id="0">
    <w:p w:rsidR="00C17617" w:rsidRDefault="00C17617" w:rsidP="0011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17" w:rsidRDefault="00C17617" w:rsidP="0011789B">
      <w:r>
        <w:separator/>
      </w:r>
    </w:p>
  </w:footnote>
  <w:footnote w:type="continuationSeparator" w:id="0">
    <w:p w:rsidR="00C17617" w:rsidRDefault="00C17617" w:rsidP="0011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25BB"/>
    <w:multiLevelType w:val="hybridMultilevel"/>
    <w:tmpl w:val="B80ADCC8"/>
    <w:lvl w:ilvl="0" w:tplc="02967988">
      <w:start w:val="6"/>
      <w:numFmt w:val="bullet"/>
      <w:lvlText w:val="○"/>
      <w:lvlJc w:val="left"/>
      <w:pPr>
        <w:tabs>
          <w:tab w:val="num" w:pos="352"/>
        </w:tabs>
        <w:ind w:left="352" w:hanging="360"/>
      </w:pPr>
      <w:rPr>
        <w:rFonts w:ascii="ＭＳ 明朝" w:eastAsia="ＭＳ 明朝" w:hAnsi="ＭＳ 明朝" w:cs="Times New Roman" w:hint="eastAsia"/>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 w15:restartNumberingAfterBreak="0">
    <w:nsid w:val="56E843EA"/>
    <w:multiLevelType w:val="hybridMultilevel"/>
    <w:tmpl w:val="D87CB682"/>
    <w:lvl w:ilvl="0" w:tplc="4FFC090E">
      <w:start w:val="57"/>
      <w:numFmt w:val="bullet"/>
      <w:lvlText w:val="○"/>
      <w:lvlJc w:val="left"/>
      <w:pPr>
        <w:tabs>
          <w:tab w:val="num" w:pos="321"/>
        </w:tabs>
        <w:ind w:left="321" w:hanging="360"/>
      </w:pPr>
      <w:rPr>
        <w:rFonts w:ascii="ＭＳ 明朝" w:eastAsia="ＭＳ 明朝" w:hAnsi="ＭＳ 明朝" w:cs="Times New Roman" w:hint="eastAsia"/>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abstractNum w:abstractNumId="2" w15:restartNumberingAfterBreak="0">
    <w:nsid w:val="60E50436"/>
    <w:multiLevelType w:val="hybridMultilevel"/>
    <w:tmpl w:val="8BACDBE0"/>
    <w:lvl w:ilvl="0" w:tplc="8B3A9C8E">
      <w:start w:val="57"/>
      <w:numFmt w:val="bullet"/>
      <w:lvlText w:val="○"/>
      <w:lvlJc w:val="left"/>
      <w:pPr>
        <w:tabs>
          <w:tab w:val="num" w:pos="321"/>
        </w:tabs>
        <w:ind w:left="321" w:hanging="360"/>
      </w:pPr>
      <w:rPr>
        <w:rFonts w:ascii="ＭＳ 明朝" w:eastAsia="ＭＳ 明朝" w:hAnsi="ＭＳ 明朝" w:cs="Times New Roman" w:hint="eastAsia"/>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abstractNum w:abstractNumId="3" w15:restartNumberingAfterBreak="0">
    <w:nsid w:val="66B02F6C"/>
    <w:multiLevelType w:val="hybridMultilevel"/>
    <w:tmpl w:val="85E6653A"/>
    <w:lvl w:ilvl="0" w:tplc="6BBA15E6">
      <w:start w:val="57"/>
      <w:numFmt w:val="bullet"/>
      <w:lvlText w:val="○"/>
      <w:lvlJc w:val="left"/>
      <w:pPr>
        <w:tabs>
          <w:tab w:val="num" w:pos="321"/>
        </w:tabs>
        <w:ind w:left="321" w:hanging="360"/>
      </w:pPr>
      <w:rPr>
        <w:rFonts w:ascii="Times New Roman" w:eastAsia="ＭＳ 明朝" w:hAnsi="Times New Roman" w:cs="Times New Roman" w:hint="default"/>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abstractNum w:abstractNumId="4" w15:restartNumberingAfterBreak="0">
    <w:nsid w:val="68E72280"/>
    <w:multiLevelType w:val="hybridMultilevel"/>
    <w:tmpl w:val="908A63AC"/>
    <w:lvl w:ilvl="0" w:tplc="4478FE40">
      <w:start w:val="6"/>
      <w:numFmt w:val="bullet"/>
      <w:lvlText w:val="○"/>
      <w:lvlJc w:val="left"/>
      <w:pPr>
        <w:tabs>
          <w:tab w:val="num" w:pos="321"/>
        </w:tabs>
        <w:ind w:left="321" w:hanging="360"/>
      </w:pPr>
      <w:rPr>
        <w:rFonts w:ascii="ＭＳ 明朝" w:eastAsia="ＭＳ 明朝" w:hAnsi="ＭＳ 明朝" w:cs="Times New Roman" w:hint="eastAsia"/>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01"/>
  <w:displayHorizontalDrawingGridEvery w:val="0"/>
  <w:characterSpacingControl w:val="compressPunctuation"/>
  <w:hdrShapeDefaults>
    <o:shapedefaults v:ext="edit" spidmax="33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9B"/>
    <w:rsid w:val="0000219D"/>
    <w:rsid w:val="0001013A"/>
    <w:rsid w:val="00016820"/>
    <w:rsid w:val="00022187"/>
    <w:rsid w:val="000315BA"/>
    <w:rsid w:val="00050F80"/>
    <w:rsid w:val="00060640"/>
    <w:rsid w:val="00085DB1"/>
    <w:rsid w:val="00085EDA"/>
    <w:rsid w:val="00094B32"/>
    <w:rsid w:val="000D7EC3"/>
    <w:rsid w:val="000F7199"/>
    <w:rsid w:val="001029A2"/>
    <w:rsid w:val="0010415A"/>
    <w:rsid w:val="00117218"/>
    <w:rsid w:val="0011789B"/>
    <w:rsid w:val="00123B20"/>
    <w:rsid w:val="001558DB"/>
    <w:rsid w:val="00160864"/>
    <w:rsid w:val="0017484F"/>
    <w:rsid w:val="00193867"/>
    <w:rsid w:val="001A6483"/>
    <w:rsid w:val="001D2CAF"/>
    <w:rsid w:val="001D3069"/>
    <w:rsid w:val="001E2EF5"/>
    <w:rsid w:val="00215E3A"/>
    <w:rsid w:val="002245A4"/>
    <w:rsid w:val="002304B7"/>
    <w:rsid w:val="002362EA"/>
    <w:rsid w:val="00272493"/>
    <w:rsid w:val="00281AB3"/>
    <w:rsid w:val="00281E46"/>
    <w:rsid w:val="002A7366"/>
    <w:rsid w:val="002B5D81"/>
    <w:rsid w:val="002C51C6"/>
    <w:rsid w:val="002E0B51"/>
    <w:rsid w:val="002F3B87"/>
    <w:rsid w:val="0030045C"/>
    <w:rsid w:val="00312F16"/>
    <w:rsid w:val="00382AAC"/>
    <w:rsid w:val="00384DF5"/>
    <w:rsid w:val="003A2094"/>
    <w:rsid w:val="003A5AAB"/>
    <w:rsid w:val="003A7758"/>
    <w:rsid w:val="003C0A2C"/>
    <w:rsid w:val="003C16BE"/>
    <w:rsid w:val="003E309F"/>
    <w:rsid w:val="00400AF0"/>
    <w:rsid w:val="004018F0"/>
    <w:rsid w:val="00406CF4"/>
    <w:rsid w:val="00426660"/>
    <w:rsid w:val="004416EF"/>
    <w:rsid w:val="00452C6F"/>
    <w:rsid w:val="0046545E"/>
    <w:rsid w:val="00475931"/>
    <w:rsid w:val="00476163"/>
    <w:rsid w:val="00491F3F"/>
    <w:rsid w:val="0049257D"/>
    <w:rsid w:val="00497EEF"/>
    <w:rsid w:val="004A6586"/>
    <w:rsid w:val="004C0767"/>
    <w:rsid w:val="00505DA4"/>
    <w:rsid w:val="00506CC2"/>
    <w:rsid w:val="00547CF9"/>
    <w:rsid w:val="00555CF5"/>
    <w:rsid w:val="00557C43"/>
    <w:rsid w:val="00567ACA"/>
    <w:rsid w:val="00572D5D"/>
    <w:rsid w:val="00591723"/>
    <w:rsid w:val="005F42C9"/>
    <w:rsid w:val="005F55D9"/>
    <w:rsid w:val="00601D21"/>
    <w:rsid w:val="006066F4"/>
    <w:rsid w:val="00614C61"/>
    <w:rsid w:val="006159AE"/>
    <w:rsid w:val="00626765"/>
    <w:rsid w:val="00643B7F"/>
    <w:rsid w:val="0064666E"/>
    <w:rsid w:val="006668F0"/>
    <w:rsid w:val="006711FB"/>
    <w:rsid w:val="006B5083"/>
    <w:rsid w:val="006D6294"/>
    <w:rsid w:val="006E4C00"/>
    <w:rsid w:val="006F6689"/>
    <w:rsid w:val="006F6796"/>
    <w:rsid w:val="006F6A68"/>
    <w:rsid w:val="00715636"/>
    <w:rsid w:val="007209EC"/>
    <w:rsid w:val="0072772B"/>
    <w:rsid w:val="007369C1"/>
    <w:rsid w:val="007417CB"/>
    <w:rsid w:val="00746830"/>
    <w:rsid w:val="00755048"/>
    <w:rsid w:val="007607E4"/>
    <w:rsid w:val="00766FA1"/>
    <w:rsid w:val="00793084"/>
    <w:rsid w:val="007A1F7C"/>
    <w:rsid w:val="007B3D0D"/>
    <w:rsid w:val="007B5EED"/>
    <w:rsid w:val="007D0DBA"/>
    <w:rsid w:val="007E13FB"/>
    <w:rsid w:val="007E474B"/>
    <w:rsid w:val="007E48CF"/>
    <w:rsid w:val="007E71DC"/>
    <w:rsid w:val="008333AA"/>
    <w:rsid w:val="008364AB"/>
    <w:rsid w:val="00837795"/>
    <w:rsid w:val="00852630"/>
    <w:rsid w:val="008759A9"/>
    <w:rsid w:val="00887CEA"/>
    <w:rsid w:val="008A1E62"/>
    <w:rsid w:val="008A7B7F"/>
    <w:rsid w:val="008C4F89"/>
    <w:rsid w:val="008C6163"/>
    <w:rsid w:val="008E13B9"/>
    <w:rsid w:val="008E411E"/>
    <w:rsid w:val="008F0528"/>
    <w:rsid w:val="00920FA0"/>
    <w:rsid w:val="00934C6A"/>
    <w:rsid w:val="00944C62"/>
    <w:rsid w:val="00944F8A"/>
    <w:rsid w:val="0097153B"/>
    <w:rsid w:val="00997CC2"/>
    <w:rsid w:val="009B372C"/>
    <w:rsid w:val="009E67FA"/>
    <w:rsid w:val="00A1653E"/>
    <w:rsid w:val="00A1724D"/>
    <w:rsid w:val="00A173EE"/>
    <w:rsid w:val="00A20A12"/>
    <w:rsid w:val="00A24D6E"/>
    <w:rsid w:val="00A25806"/>
    <w:rsid w:val="00A31E58"/>
    <w:rsid w:val="00A32ADD"/>
    <w:rsid w:val="00A45EB9"/>
    <w:rsid w:val="00A76F05"/>
    <w:rsid w:val="00A90BE9"/>
    <w:rsid w:val="00AB6AD3"/>
    <w:rsid w:val="00AE0DB5"/>
    <w:rsid w:val="00AE1D13"/>
    <w:rsid w:val="00AF6B25"/>
    <w:rsid w:val="00B0302D"/>
    <w:rsid w:val="00B1104E"/>
    <w:rsid w:val="00B3514B"/>
    <w:rsid w:val="00B55916"/>
    <w:rsid w:val="00B6142A"/>
    <w:rsid w:val="00B65ACF"/>
    <w:rsid w:val="00B94A82"/>
    <w:rsid w:val="00BA3A61"/>
    <w:rsid w:val="00BC7C9C"/>
    <w:rsid w:val="00BD47CF"/>
    <w:rsid w:val="00BE273D"/>
    <w:rsid w:val="00C17617"/>
    <w:rsid w:val="00C546DD"/>
    <w:rsid w:val="00C556D5"/>
    <w:rsid w:val="00C65F6D"/>
    <w:rsid w:val="00C87C79"/>
    <w:rsid w:val="00C96AE1"/>
    <w:rsid w:val="00CB05C9"/>
    <w:rsid w:val="00CD1F5D"/>
    <w:rsid w:val="00CD5300"/>
    <w:rsid w:val="00CE4029"/>
    <w:rsid w:val="00CE566E"/>
    <w:rsid w:val="00CE6A06"/>
    <w:rsid w:val="00CF2DFC"/>
    <w:rsid w:val="00D0110A"/>
    <w:rsid w:val="00D04CEB"/>
    <w:rsid w:val="00D26838"/>
    <w:rsid w:val="00D32D59"/>
    <w:rsid w:val="00D36742"/>
    <w:rsid w:val="00D4328B"/>
    <w:rsid w:val="00D56A38"/>
    <w:rsid w:val="00D57DD9"/>
    <w:rsid w:val="00D763E9"/>
    <w:rsid w:val="00DB7A6A"/>
    <w:rsid w:val="00DD039F"/>
    <w:rsid w:val="00DD03AE"/>
    <w:rsid w:val="00DD4548"/>
    <w:rsid w:val="00DD6539"/>
    <w:rsid w:val="00DE561C"/>
    <w:rsid w:val="00E1400E"/>
    <w:rsid w:val="00E33FBF"/>
    <w:rsid w:val="00E404CD"/>
    <w:rsid w:val="00E54C6F"/>
    <w:rsid w:val="00E578D0"/>
    <w:rsid w:val="00E62739"/>
    <w:rsid w:val="00E71270"/>
    <w:rsid w:val="00E764FD"/>
    <w:rsid w:val="00E9096F"/>
    <w:rsid w:val="00E961C7"/>
    <w:rsid w:val="00EA086F"/>
    <w:rsid w:val="00ED1A7D"/>
    <w:rsid w:val="00ED3C52"/>
    <w:rsid w:val="00ED5031"/>
    <w:rsid w:val="00F26720"/>
    <w:rsid w:val="00F42070"/>
    <w:rsid w:val="00F553DB"/>
    <w:rsid w:val="00F740F6"/>
    <w:rsid w:val="00FB093A"/>
    <w:rsid w:val="00FB42A8"/>
    <w:rsid w:val="00FD5A75"/>
    <w:rsid w:val="00FD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v:textbox inset="5.85pt,.7pt,5.85pt,.7pt"/>
    </o:shapedefaults>
    <o:shapelayout v:ext="edit">
      <o:idmap v:ext="edit" data="1"/>
    </o:shapelayout>
  </w:shapeDefaults>
  <w:decimalSymbol w:val="."/>
  <w:listSeparator w:val=","/>
  <w15:docId w15:val="{6EC800E6-DE9F-4275-9FD3-34059F2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2"/>
      <w:szCs w:val="21"/>
    </w:rPr>
  </w:style>
  <w:style w:type="paragraph" w:styleId="4">
    <w:name w:val="heading 4"/>
    <w:basedOn w:val="a"/>
    <w:qFormat/>
    <w:pPr>
      <w:widowControl/>
      <w:spacing w:before="100" w:beforeAutospacing="1" w:after="100" w:afterAutospacing="1"/>
      <w:jc w:val="left"/>
      <w:outlineLvl w:val="3"/>
    </w:pPr>
    <w:rPr>
      <w:rFonts w:ascii="ＭＳ 明朝" w:hAnsi="ＭＳ 明朝"/>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40"/>
    </w:pPr>
    <w:rPr>
      <w:rFonts w:ascii="ＭＳ 明朝" w:hAnsi="ＭＳ ゴシック"/>
      <w:sz w:val="21"/>
    </w:rPr>
  </w:style>
  <w:style w:type="paragraph" w:styleId="2">
    <w:name w:val="Body Text 2"/>
    <w:basedOn w:val="a"/>
    <w:semiHidden/>
    <w:pPr>
      <w:spacing w:before="40"/>
    </w:pPr>
    <w:rPr>
      <w:rFonts w:ascii="ＭＳ 明朝"/>
      <w:sz w:val="20"/>
    </w:rPr>
  </w:style>
  <w:style w:type="paragraph" w:styleId="3">
    <w:name w:val="Body Text 3"/>
    <w:basedOn w:val="a"/>
    <w:semiHidden/>
    <w:pPr>
      <w:widowControl/>
      <w:spacing w:before="20" w:line="220" w:lineRule="exact"/>
      <w:jc w:val="left"/>
    </w:pPr>
    <w:rPr>
      <w:sz w:val="20"/>
    </w:rPr>
  </w:style>
  <w:style w:type="paragraph" w:styleId="a4">
    <w:name w:val="header"/>
    <w:basedOn w:val="a"/>
    <w:link w:val="a5"/>
    <w:uiPriority w:val="99"/>
    <w:unhideWhenUsed/>
    <w:rsid w:val="0011789B"/>
    <w:pPr>
      <w:tabs>
        <w:tab w:val="center" w:pos="4252"/>
        <w:tab w:val="right" w:pos="8504"/>
      </w:tabs>
      <w:snapToGrid w:val="0"/>
    </w:pPr>
  </w:style>
  <w:style w:type="character" w:customStyle="1" w:styleId="a5">
    <w:name w:val="ヘッダー (文字)"/>
    <w:link w:val="a4"/>
    <w:uiPriority w:val="99"/>
    <w:rsid w:val="0011789B"/>
    <w:rPr>
      <w:rFonts w:ascii="Times New Roman" w:hAnsi="Times New Roman"/>
      <w:kern w:val="2"/>
      <w:sz w:val="22"/>
      <w:szCs w:val="21"/>
    </w:rPr>
  </w:style>
  <w:style w:type="paragraph" w:styleId="a6">
    <w:name w:val="footer"/>
    <w:basedOn w:val="a"/>
    <w:link w:val="a7"/>
    <w:uiPriority w:val="99"/>
    <w:unhideWhenUsed/>
    <w:rsid w:val="0011789B"/>
    <w:pPr>
      <w:tabs>
        <w:tab w:val="center" w:pos="4252"/>
        <w:tab w:val="right" w:pos="8504"/>
      </w:tabs>
      <w:snapToGrid w:val="0"/>
    </w:pPr>
  </w:style>
  <w:style w:type="character" w:customStyle="1" w:styleId="a7">
    <w:name w:val="フッター (文字)"/>
    <w:link w:val="a6"/>
    <w:uiPriority w:val="99"/>
    <w:rsid w:val="0011789B"/>
    <w:rPr>
      <w:rFonts w:ascii="Times New Roman" w:hAnsi="Times New Roman"/>
      <w:kern w:val="2"/>
      <w:sz w:val="22"/>
      <w:szCs w:val="21"/>
    </w:rPr>
  </w:style>
  <w:style w:type="paragraph" w:styleId="a8">
    <w:name w:val="Balloon Text"/>
    <w:basedOn w:val="a"/>
    <w:semiHidden/>
    <w:rsid w:val="000101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341">
      <w:bodyDiv w:val="1"/>
      <w:marLeft w:val="0"/>
      <w:marRight w:val="0"/>
      <w:marTop w:val="0"/>
      <w:marBottom w:val="0"/>
      <w:divBdr>
        <w:top w:val="none" w:sz="0" w:space="0" w:color="auto"/>
        <w:left w:val="none" w:sz="0" w:space="0" w:color="auto"/>
        <w:bottom w:val="none" w:sz="0" w:space="0" w:color="auto"/>
        <w:right w:val="none" w:sz="0" w:space="0" w:color="auto"/>
      </w:divBdr>
    </w:div>
    <w:div w:id="188296656">
      <w:bodyDiv w:val="1"/>
      <w:marLeft w:val="0"/>
      <w:marRight w:val="0"/>
      <w:marTop w:val="0"/>
      <w:marBottom w:val="0"/>
      <w:divBdr>
        <w:top w:val="none" w:sz="0" w:space="0" w:color="auto"/>
        <w:left w:val="none" w:sz="0" w:space="0" w:color="auto"/>
        <w:bottom w:val="none" w:sz="0" w:space="0" w:color="auto"/>
        <w:right w:val="none" w:sz="0" w:space="0" w:color="auto"/>
      </w:divBdr>
    </w:div>
    <w:div w:id="690452321">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7801781">
      <w:bodyDiv w:val="1"/>
      <w:marLeft w:val="0"/>
      <w:marRight w:val="0"/>
      <w:marTop w:val="0"/>
      <w:marBottom w:val="0"/>
      <w:divBdr>
        <w:top w:val="none" w:sz="0" w:space="0" w:color="auto"/>
        <w:left w:val="none" w:sz="0" w:space="0" w:color="auto"/>
        <w:bottom w:val="none" w:sz="0" w:space="0" w:color="auto"/>
        <w:right w:val="none" w:sz="0" w:space="0" w:color="auto"/>
      </w:divBdr>
    </w:div>
    <w:div w:id="1636258338">
      <w:bodyDiv w:val="1"/>
      <w:marLeft w:val="0"/>
      <w:marRight w:val="0"/>
      <w:marTop w:val="0"/>
      <w:marBottom w:val="0"/>
      <w:divBdr>
        <w:top w:val="none" w:sz="0" w:space="0" w:color="auto"/>
        <w:left w:val="none" w:sz="0" w:space="0" w:color="auto"/>
        <w:bottom w:val="none" w:sz="0" w:space="0" w:color="auto"/>
        <w:right w:val="none" w:sz="0" w:space="0" w:color="auto"/>
      </w:divBdr>
    </w:div>
    <w:div w:id="19879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3BB7-EF38-47ED-A30F-262E50DE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開発</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creator>日新製薬株式会社</dc:creator>
  <cp:lastModifiedBy>y.m</cp:lastModifiedBy>
  <cp:revision>20</cp:revision>
  <cp:lastPrinted>2019-09-04T23:52:00Z</cp:lastPrinted>
  <dcterms:created xsi:type="dcterms:W3CDTF">2014-07-04T01:24:00Z</dcterms:created>
  <dcterms:modified xsi:type="dcterms:W3CDTF">2025-04-01T00:46:00Z</dcterms:modified>
</cp:coreProperties>
</file>