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843"/>
        <w:gridCol w:w="2480"/>
        <w:gridCol w:w="1914"/>
        <w:gridCol w:w="2410"/>
      </w:tblGrid>
      <w:tr w:rsidR="0022655D" w:rsidTr="00B215BC">
        <w:trPr>
          <w:cantSplit/>
          <w:trHeight w:val="71"/>
        </w:trPr>
        <w:tc>
          <w:tcPr>
            <w:tcW w:w="1276" w:type="dxa"/>
            <w:tcBorders>
              <w:top w:val="nil"/>
              <w:left w:val="nil"/>
              <w:bottom w:val="single" w:sz="12" w:space="0" w:color="auto"/>
              <w:right w:val="nil"/>
            </w:tcBorders>
            <w:vAlign w:val="center"/>
          </w:tcPr>
          <w:p w:rsidR="0022655D" w:rsidRDefault="0022655D" w:rsidP="00CE0D8E">
            <w:pPr>
              <w:jc w:val="center"/>
              <w:rPr>
                <w:rFonts w:ascii="MS UI Gothic" w:eastAsia="MS UI Gothic" w:hAnsi="ＭＳ ゴシック"/>
              </w:rPr>
            </w:pPr>
          </w:p>
        </w:tc>
        <w:tc>
          <w:tcPr>
            <w:tcW w:w="6237" w:type="dxa"/>
            <w:gridSpan w:val="3"/>
            <w:tcBorders>
              <w:top w:val="nil"/>
              <w:left w:val="nil"/>
              <w:bottom w:val="single" w:sz="12" w:space="0" w:color="auto"/>
              <w:right w:val="nil"/>
            </w:tcBorders>
          </w:tcPr>
          <w:p w:rsidR="0022655D" w:rsidRDefault="0022655D" w:rsidP="002B142A">
            <w:pPr>
              <w:ind w:firstLineChars="400" w:firstLine="1285"/>
              <w:jc w:val="center"/>
              <w:rPr>
                <w:rFonts w:ascii="MS UI Gothic" w:eastAsia="MS UI Gothic" w:hAnsi="ＭＳ ゴシック"/>
              </w:rPr>
            </w:pPr>
            <w:r>
              <w:rPr>
                <w:rFonts w:eastAsia="MS UI Gothic" w:hint="eastAsia"/>
                <w:b/>
                <w:bCs/>
                <w:sz w:val="32"/>
              </w:rPr>
              <w:t>製品比較表</w:t>
            </w:r>
          </w:p>
        </w:tc>
        <w:tc>
          <w:tcPr>
            <w:tcW w:w="2410" w:type="dxa"/>
            <w:tcBorders>
              <w:top w:val="nil"/>
              <w:left w:val="nil"/>
              <w:bottom w:val="single" w:sz="12" w:space="0" w:color="auto"/>
              <w:right w:val="nil"/>
            </w:tcBorders>
            <w:vAlign w:val="bottom"/>
          </w:tcPr>
          <w:p w:rsidR="0022655D" w:rsidRDefault="0022655D" w:rsidP="00555C09">
            <w:pPr>
              <w:jc w:val="right"/>
              <w:rPr>
                <w:rFonts w:ascii="ＭＳ Ｐ明朝" w:eastAsia="ＭＳ Ｐ明朝" w:hAnsi="ＭＳ Ｐ明朝"/>
                <w:sz w:val="18"/>
              </w:rPr>
            </w:pPr>
            <w:r>
              <w:rPr>
                <w:rFonts w:ascii="ＭＳ Ｐ明朝" w:eastAsia="ＭＳ Ｐ明朝" w:hAnsi="ＭＳ Ｐ明朝" w:hint="eastAsia"/>
                <w:sz w:val="18"/>
              </w:rPr>
              <w:t>20</w:t>
            </w:r>
            <w:r w:rsidR="00513ADD">
              <w:rPr>
                <w:rFonts w:ascii="ＭＳ Ｐ明朝" w:eastAsia="ＭＳ Ｐ明朝" w:hAnsi="ＭＳ Ｐ明朝" w:hint="eastAsia"/>
                <w:sz w:val="18"/>
              </w:rPr>
              <w:t>2</w:t>
            </w:r>
            <w:r w:rsidR="00555C09">
              <w:rPr>
                <w:rFonts w:ascii="ＭＳ Ｐ明朝" w:eastAsia="ＭＳ Ｐ明朝" w:hAnsi="ＭＳ Ｐ明朝" w:hint="eastAsia"/>
                <w:sz w:val="18"/>
              </w:rPr>
              <w:t>5</w:t>
            </w:r>
            <w:r>
              <w:rPr>
                <w:rFonts w:ascii="ＭＳ Ｐ明朝" w:eastAsia="ＭＳ Ｐ明朝" w:hAnsi="ＭＳ Ｐ明朝" w:hint="eastAsia"/>
                <w:sz w:val="18"/>
              </w:rPr>
              <w:t>年</w:t>
            </w:r>
            <w:r w:rsidR="006A3FC4">
              <w:rPr>
                <w:rFonts w:ascii="ＭＳ Ｐ明朝" w:eastAsia="ＭＳ Ｐ明朝" w:hAnsi="ＭＳ Ｐ明朝" w:hint="eastAsia"/>
                <w:sz w:val="18"/>
              </w:rPr>
              <w:t>4</w:t>
            </w:r>
            <w:r>
              <w:rPr>
                <w:rFonts w:ascii="ＭＳ Ｐ明朝" w:eastAsia="ＭＳ Ｐ明朝" w:hAnsi="ＭＳ Ｐ明朝" w:hint="eastAsia"/>
                <w:sz w:val="18"/>
              </w:rPr>
              <w:t>月</w:t>
            </w:r>
            <w:r w:rsidR="00525870">
              <w:rPr>
                <w:rFonts w:ascii="ＭＳ Ｐ明朝" w:eastAsia="ＭＳ Ｐ明朝" w:hAnsi="ＭＳ Ｐ明朝" w:hint="eastAsia"/>
                <w:sz w:val="18"/>
              </w:rPr>
              <w:t>改訂</w:t>
            </w:r>
          </w:p>
        </w:tc>
      </w:tr>
      <w:tr w:rsidR="0022655D" w:rsidTr="00B215BC">
        <w:trPr>
          <w:cantSplit/>
          <w:trHeight w:val="397"/>
        </w:trPr>
        <w:tc>
          <w:tcPr>
            <w:tcW w:w="1276" w:type="dxa"/>
            <w:tcBorders>
              <w:top w:val="single" w:sz="12" w:space="0" w:color="auto"/>
              <w:left w:val="single" w:sz="12" w:space="0" w:color="auto"/>
              <w:bottom w:val="double" w:sz="4" w:space="0" w:color="auto"/>
              <w:right w:val="double" w:sz="4" w:space="0" w:color="auto"/>
            </w:tcBorders>
          </w:tcPr>
          <w:p w:rsidR="0022655D" w:rsidRDefault="0022655D">
            <w:pPr>
              <w:pStyle w:val="a3"/>
              <w:tabs>
                <w:tab w:val="clear" w:pos="4252"/>
                <w:tab w:val="clear" w:pos="8504"/>
              </w:tabs>
              <w:snapToGrid/>
              <w:rPr>
                <w:rFonts w:ascii="MS UI Gothic" w:eastAsia="MS UI Gothic" w:hAnsi="MS UI Gothic"/>
              </w:rPr>
            </w:pPr>
          </w:p>
        </w:tc>
        <w:tc>
          <w:tcPr>
            <w:tcW w:w="4323" w:type="dxa"/>
            <w:gridSpan w:val="2"/>
            <w:tcBorders>
              <w:top w:val="single" w:sz="12" w:space="0" w:color="auto"/>
              <w:left w:val="double" w:sz="4" w:space="0" w:color="auto"/>
              <w:bottom w:val="double" w:sz="4" w:space="0" w:color="auto"/>
            </w:tcBorders>
            <w:vAlign w:val="center"/>
          </w:tcPr>
          <w:p w:rsidR="0022655D" w:rsidRDefault="0022655D">
            <w:pPr>
              <w:jc w:val="center"/>
              <w:rPr>
                <w:rFonts w:ascii="MS UI Gothic" w:eastAsia="MS UI Gothic" w:hAnsi="ＭＳ ゴシック"/>
              </w:rPr>
            </w:pPr>
            <w:r>
              <w:rPr>
                <w:rFonts w:ascii="MS UI Gothic" w:eastAsia="MS UI Gothic" w:hAnsi="ＭＳ ゴシック" w:hint="eastAsia"/>
              </w:rPr>
              <w:t>後発</w:t>
            </w:r>
            <w:r w:rsidR="00513ADD">
              <w:rPr>
                <w:rFonts w:ascii="MS UI Gothic" w:eastAsia="MS UI Gothic" w:hAnsi="ＭＳ ゴシック" w:hint="eastAsia"/>
              </w:rPr>
              <w:t>医薬</w:t>
            </w:r>
            <w:r>
              <w:rPr>
                <w:rFonts w:ascii="MS UI Gothic" w:eastAsia="MS UI Gothic" w:hAnsi="ＭＳ ゴシック" w:hint="eastAsia"/>
              </w:rPr>
              <w:t>品</w:t>
            </w:r>
          </w:p>
        </w:tc>
        <w:tc>
          <w:tcPr>
            <w:tcW w:w="4324" w:type="dxa"/>
            <w:gridSpan w:val="2"/>
            <w:tcBorders>
              <w:top w:val="single" w:sz="12" w:space="0" w:color="auto"/>
              <w:bottom w:val="double" w:sz="4" w:space="0" w:color="auto"/>
              <w:right w:val="single" w:sz="12" w:space="0" w:color="auto"/>
            </w:tcBorders>
            <w:vAlign w:val="center"/>
          </w:tcPr>
          <w:p w:rsidR="0022655D" w:rsidRDefault="00033688">
            <w:pPr>
              <w:jc w:val="center"/>
              <w:rPr>
                <w:rFonts w:ascii="MS UI Gothic" w:eastAsia="MS UI Gothic" w:hAnsi="ＭＳ ゴシック"/>
              </w:rPr>
            </w:pPr>
            <w:r>
              <w:rPr>
                <w:rFonts w:ascii="MS UI Gothic" w:eastAsia="MS UI Gothic" w:hAnsi="ＭＳ ゴシック" w:hint="eastAsia"/>
              </w:rPr>
              <w:t>標準製剤</w:t>
            </w:r>
          </w:p>
        </w:tc>
      </w:tr>
      <w:tr w:rsidR="0022655D" w:rsidRPr="00EF535F" w:rsidTr="00B215BC">
        <w:trPr>
          <w:cantSplit/>
          <w:trHeight w:val="101"/>
        </w:trPr>
        <w:tc>
          <w:tcPr>
            <w:tcW w:w="1276" w:type="dxa"/>
            <w:tcBorders>
              <w:top w:val="double" w:sz="4" w:space="0" w:color="auto"/>
              <w:left w:val="single" w:sz="12" w:space="0" w:color="auto"/>
              <w:right w:val="double" w:sz="4" w:space="0" w:color="auto"/>
            </w:tcBorders>
            <w:vAlign w:val="center"/>
          </w:tcPr>
          <w:p w:rsidR="0022655D" w:rsidRDefault="009C1E49">
            <w:pPr>
              <w:spacing w:line="360" w:lineRule="auto"/>
              <w:jc w:val="center"/>
              <w:rPr>
                <w:rFonts w:ascii="MS UI Gothic" w:eastAsia="MS UI Gothic" w:hAnsi="MS UI Gothic"/>
              </w:rPr>
            </w:pPr>
            <w:r>
              <w:rPr>
                <w:rFonts w:ascii="MS UI Gothic" w:eastAsia="MS UI Gothic" w:hAnsi="MS UI Gothic" w:hint="eastAsia"/>
              </w:rPr>
              <w:t>製剤</w:t>
            </w:r>
            <w:r w:rsidR="0022655D">
              <w:rPr>
                <w:rFonts w:ascii="MS UI Gothic" w:eastAsia="MS UI Gothic" w:hAnsi="MS UI Gothic" w:hint="eastAsia"/>
              </w:rPr>
              <w:t>名</w:t>
            </w:r>
          </w:p>
        </w:tc>
        <w:tc>
          <w:tcPr>
            <w:tcW w:w="4323" w:type="dxa"/>
            <w:gridSpan w:val="2"/>
            <w:tcBorders>
              <w:top w:val="double" w:sz="4" w:space="0" w:color="auto"/>
              <w:left w:val="double" w:sz="4" w:space="0" w:color="auto"/>
            </w:tcBorders>
          </w:tcPr>
          <w:p w:rsidR="0022655D" w:rsidRPr="007E2E5A" w:rsidRDefault="007B59B5" w:rsidP="00E41B9F">
            <w:pPr>
              <w:spacing w:line="360" w:lineRule="auto"/>
              <w:jc w:val="center"/>
              <w:rPr>
                <w:rFonts w:asciiTheme="majorHAnsi" w:eastAsia="MS UI Gothic" w:hAnsiTheme="majorHAnsi" w:cstheme="majorHAnsi"/>
                <w:sz w:val="24"/>
              </w:rPr>
            </w:pPr>
            <w:r w:rsidRPr="007E2E5A">
              <w:rPr>
                <w:rFonts w:asciiTheme="majorHAnsi" w:eastAsia="MS UI Gothic" w:hAnsi="MS UI Gothic" w:cstheme="majorHAnsi"/>
                <w:sz w:val="24"/>
              </w:rPr>
              <w:t>レボフロキサシン</w:t>
            </w:r>
            <w:r w:rsidR="0022655D" w:rsidRPr="007E2E5A">
              <w:rPr>
                <w:rFonts w:asciiTheme="majorHAnsi" w:eastAsia="MS UI Gothic" w:hAnsi="MS UI Gothic" w:cstheme="majorHAnsi"/>
                <w:sz w:val="24"/>
              </w:rPr>
              <w:t>点眼液</w:t>
            </w:r>
            <w:r w:rsidR="00E41B9F">
              <w:rPr>
                <w:rFonts w:asciiTheme="majorHAnsi" w:eastAsia="MS UI Gothic" w:hAnsiTheme="majorHAnsi" w:cstheme="majorHAnsi" w:hint="eastAsia"/>
                <w:sz w:val="24"/>
              </w:rPr>
              <w:t>1</w:t>
            </w:r>
            <w:r w:rsidR="0022655D" w:rsidRPr="007E2E5A">
              <w:rPr>
                <w:rFonts w:asciiTheme="majorHAnsi" w:eastAsia="MS UI Gothic" w:hAnsiTheme="majorHAnsi" w:cstheme="majorHAnsi"/>
                <w:sz w:val="24"/>
              </w:rPr>
              <w:t>.</w:t>
            </w:r>
            <w:r w:rsidRPr="007E2E5A">
              <w:rPr>
                <w:rFonts w:asciiTheme="majorHAnsi" w:eastAsia="MS UI Gothic" w:hAnsiTheme="majorHAnsi" w:cstheme="majorHAnsi"/>
                <w:sz w:val="24"/>
              </w:rPr>
              <w:t>5</w:t>
            </w:r>
            <w:r w:rsidR="0022655D" w:rsidRPr="007E2E5A">
              <w:rPr>
                <w:rFonts w:asciiTheme="majorHAnsi" w:eastAsia="MS UI Gothic" w:hAnsiTheme="majorHAnsi" w:cstheme="majorHAnsi"/>
                <w:sz w:val="24"/>
              </w:rPr>
              <w:t>%</w:t>
            </w:r>
            <w:r w:rsidR="00CF3C87" w:rsidRPr="007E2E5A">
              <w:rPr>
                <w:rFonts w:asciiTheme="majorHAnsi" w:eastAsia="MS UI Gothic" w:hAnsi="MS UI Gothic" w:cstheme="majorHAnsi"/>
                <w:sz w:val="24"/>
              </w:rPr>
              <w:t>「</w:t>
            </w:r>
            <w:r w:rsidR="00CF3C87" w:rsidRPr="007E2E5A">
              <w:rPr>
                <w:rFonts w:asciiTheme="majorHAnsi" w:eastAsia="MS UI Gothic" w:hAnsiTheme="majorHAnsi" w:cstheme="majorHAnsi"/>
                <w:sz w:val="24"/>
              </w:rPr>
              <w:t>TS</w:t>
            </w:r>
            <w:r w:rsidR="00CF3C87" w:rsidRPr="007E2E5A">
              <w:rPr>
                <w:rFonts w:asciiTheme="majorHAnsi" w:eastAsia="MS UI Gothic" w:hAnsi="MS UI Gothic" w:cstheme="majorHAnsi"/>
                <w:sz w:val="24"/>
              </w:rPr>
              <w:t>」</w:t>
            </w:r>
          </w:p>
        </w:tc>
        <w:tc>
          <w:tcPr>
            <w:tcW w:w="4324" w:type="dxa"/>
            <w:gridSpan w:val="2"/>
            <w:tcBorders>
              <w:top w:val="double" w:sz="4" w:space="0" w:color="auto"/>
              <w:right w:val="single" w:sz="12" w:space="0" w:color="auto"/>
            </w:tcBorders>
            <w:vAlign w:val="center"/>
          </w:tcPr>
          <w:p w:rsidR="0022655D" w:rsidRPr="006B4C74" w:rsidRDefault="00033688" w:rsidP="00DB123B">
            <w:pPr>
              <w:pStyle w:val="a3"/>
              <w:tabs>
                <w:tab w:val="clear" w:pos="4252"/>
                <w:tab w:val="clear" w:pos="8504"/>
              </w:tabs>
              <w:jc w:val="center"/>
              <w:rPr>
                <w:rFonts w:ascii="ＭＳ Ｐ明朝" w:eastAsia="ＭＳ Ｐ明朝" w:hAnsi="ＭＳ Ｐ明朝"/>
              </w:rPr>
            </w:pPr>
            <w:r w:rsidRPr="001E1266">
              <w:rPr>
                <w:rFonts w:ascii="ＭＳ Ｐ明朝" w:eastAsia="ＭＳ Ｐ明朝" w:hAnsi="ＭＳ Ｐ明朝"/>
                <w:sz w:val="24"/>
              </w:rPr>
              <w:t>標準製</w:t>
            </w:r>
            <w:r w:rsidR="00C53DD8" w:rsidRPr="001E1266">
              <w:rPr>
                <w:rFonts w:ascii="ＭＳ Ｐ明朝" w:eastAsia="ＭＳ Ｐ明朝" w:hAnsi="ＭＳ Ｐ明朝"/>
                <w:sz w:val="24"/>
              </w:rPr>
              <w:t>剤（点</w:t>
            </w:r>
            <w:r w:rsidR="0082198F" w:rsidRPr="001E1266">
              <w:rPr>
                <w:rFonts w:ascii="ＭＳ Ｐ明朝" w:eastAsia="ＭＳ Ｐ明朝" w:hAnsi="ＭＳ Ｐ明朝"/>
                <w:sz w:val="24"/>
              </w:rPr>
              <w:t>眼剤</w:t>
            </w:r>
            <w:r w:rsidRPr="001E1266">
              <w:rPr>
                <w:rFonts w:ascii="ＭＳ Ｐ明朝" w:eastAsia="ＭＳ Ｐ明朝" w:hAnsi="ＭＳ Ｐ明朝"/>
                <w:sz w:val="24"/>
              </w:rPr>
              <w:t>，</w:t>
            </w:r>
            <w:r w:rsidR="00DB123B" w:rsidRPr="001E1266">
              <w:rPr>
                <w:rFonts w:ascii="ＭＳ Ｐ明朝" w:eastAsia="ＭＳ Ｐ明朝" w:hAnsi="ＭＳ Ｐ明朝"/>
                <w:sz w:val="24"/>
              </w:rPr>
              <w:t>1.5%</w:t>
            </w:r>
            <w:r w:rsidR="00C53DD8" w:rsidRPr="001E1266">
              <w:rPr>
                <w:rFonts w:ascii="ＭＳ Ｐ明朝" w:eastAsia="ＭＳ Ｐ明朝" w:hAnsi="ＭＳ Ｐ明朝"/>
                <w:sz w:val="24"/>
              </w:rPr>
              <w:t>）</w:t>
            </w:r>
          </w:p>
        </w:tc>
      </w:tr>
      <w:tr w:rsidR="0022655D" w:rsidRPr="00484EDE" w:rsidTr="00B215BC">
        <w:trPr>
          <w:cantSplit/>
          <w:trHeight w:val="115"/>
        </w:trPr>
        <w:tc>
          <w:tcPr>
            <w:tcW w:w="1276" w:type="dxa"/>
            <w:tcBorders>
              <w:left w:val="single" w:sz="12" w:space="0" w:color="auto"/>
              <w:right w:val="double" w:sz="4" w:space="0" w:color="auto"/>
            </w:tcBorders>
            <w:vAlign w:val="center"/>
          </w:tcPr>
          <w:p w:rsidR="0022655D" w:rsidRDefault="0022655D" w:rsidP="00484EDE">
            <w:pPr>
              <w:snapToGrid w:val="0"/>
              <w:jc w:val="center"/>
              <w:rPr>
                <w:rFonts w:ascii="MS UI Gothic" w:eastAsia="MS UI Gothic" w:hAnsi="MS UI Gothic"/>
              </w:rPr>
            </w:pPr>
            <w:r>
              <w:rPr>
                <w:rFonts w:ascii="MS UI Gothic" w:eastAsia="MS UI Gothic" w:hAnsi="MS UI Gothic" w:hint="eastAsia"/>
              </w:rPr>
              <w:t>会社名</w:t>
            </w:r>
          </w:p>
        </w:tc>
        <w:tc>
          <w:tcPr>
            <w:tcW w:w="4323" w:type="dxa"/>
            <w:gridSpan w:val="2"/>
            <w:tcBorders>
              <w:left w:val="double" w:sz="4" w:space="0" w:color="auto"/>
              <w:bottom w:val="single" w:sz="4" w:space="0" w:color="auto"/>
            </w:tcBorders>
            <w:vAlign w:val="center"/>
          </w:tcPr>
          <w:p w:rsidR="0022655D" w:rsidRPr="00484EDE" w:rsidRDefault="002E10C0" w:rsidP="00484EDE">
            <w:pPr>
              <w:snapToGrid w:val="0"/>
              <w:jc w:val="center"/>
              <w:rPr>
                <w:rFonts w:ascii="MS UI Gothic" w:eastAsia="MS UI Gothic" w:hAnsi="MS UI Gothic"/>
              </w:rPr>
            </w:pPr>
            <w:r w:rsidRPr="00484EDE">
              <w:rPr>
                <w:rFonts w:ascii="MS UI Gothic" w:eastAsia="MS UI Gothic" w:hAnsi="MS UI Gothic" w:hint="eastAsia"/>
              </w:rPr>
              <w:t>テイカ製薬株式会社</w:t>
            </w:r>
          </w:p>
        </w:tc>
        <w:tc>
          <w:tcPr>
            <w:tcW w:w="4324" w:type="dxa"/>
            <w:gridSpan w:val="2"/>
            <w:tcBorders>
              <w:right w:val="single" w:sz="12" w:space="0" w:color="auto"/>
            </w:tcBorders>
            <w:vAlign w:val="center"/>
          </w:tcPr>
          <w:p w:rsidR="0022655D" w:rsidRPr="00484EDE" w:rsidRDefault="0022655D">
            <w:pPr>
              <w:snapToGrid w:val="0"/>
              <w:jc w:val="center"/>
              <w:rPr>
                <w:rFonts w:ascii="MS UI Gothic" w:eastAsia="MS UI Gothic" w:hAnsi="MS UI Gothic"/>
              </w:rPr>
            </w:pPr>
          </w:p>
        </w:tc>
      </w:tr>
      <w:tr w:rsidR="0022655D" w:rsidRPr="00484EDE" w:rsidTr="00B215BC">
        <w:trPr>
          <w:cantSplit/>
          <w:trHeight w:val="120"/>
        </w:trPr>
        <w:tc>
          <w:tcPr>
            <w:tcW w:w="1276" w:type="dxa"/>
            <w:tcBorders>
              <w:left w:val="single" w:sz="12" w:space="0" w:color="auto"/>
              <w:right w:val="double" w:sz="4" w:space="0" w:color="auto"/>
            </w:tcBorders>
            <w:vAlign w:val="center"/>
          </w:tcPr>
          <w:p w:rsidR="0022655D" w:rsidRDefault="0022655D" w:rsidP="00484EDE">
            <w:pPr>
              <w:snapToGrid w:val="0"/>
              <w:jc w:val="center"/>
              <w:rPr>
                <w:rFonts w:ascii="MS UI Gothic" w:eastAsia="MS UI Gothic" w:hAnsi="MS UI Gothic"/>
              </w:rPr>
            </w:pPr>
            <w:r>
              <w:rPr>
                <w:rFonts w:ascii="MS UI Gothic" w:eastAsia="MS UI Gothic" w:hAnsi="MS UI Gothic" w:hint="eastAsia"/>
              </w:rPr>
              <w:t>薬価</w:t>
            </w:r>
          </w:p>
        </w:tc>
        <w:tc>
          <w:tcPr>
            <w:tcW w:w="4323" w:type="dxa"/>
            <w:gridSpan w:val="2"/>
            <w:tcBorders>
              <w:left w:val="double" w:sz="4" w:space="0" w:color="auto"/>
              <w:bottom w:val="single" w:sz="4" w:space="0" w:color="auto"/>
            </w:tcBorders>
            <w:shd w:val="clear" w:color="auto" w:fill="auto"/>
            <w:vAlign w:val="center"/>
          </w:tcPr>
          <w:p w:rsidR="0022655D" w:rsidRPr="00B215BC" w:rsidRDefault="0001022F" w:rsidP="00555C09">
            <w:pPr>
              <w:pStyle w:val="a3"/>
              <w:widowControl/>
              <w:tabs>
                <w:tab w:val="clear" w:pos="4252"/>
                <w:tab w:val="clear" w:pos="8504"/>
              </w:tabs>
              <w:jc w:val="center"/>
              <w:rPr>
                <w:rFonts w:ascii="ＭＳ Ｐ明朝" w:eastAsia="ＭＳ Ｐ明朝" w:hAnsi="ＭＳ Ｐ明朝"/>
                <w:color w:val="000000" w:themeColor="text1"/>
                <w:szCs w:val="21"/>
              </w:rPr>
            </w:pPr>
            <w:r w:rsidRPr="00B215BC">
              <w:rPr>
                <w:rFonts w:ascii="ＭＳ Ｐ明朝" w:eastAsia="ＭＳ Ｐ明朝" w:hAnsi="ＭＳ Ｐ明朝"/>
                <w:color w:val="000000" w:themeColor="text1"/>
                <w:szCs w:val="21"/>
              </w:rPr>
              <w:t>1</w:t>
            </w:r>
            <w:r w:rsidR="0022655D" w:rsidRPr="00B215BC">
              <w:rPr>
                <w:rFonts w:ascii="ＭＳ Ｐ明朝" w:eastAsia="ＭＳ Ｐ明朝" w:hAnsi="ＭＳ Ｐ明朝"/>
                <w:color w:val="000000" w:themeColor="text1"/>
                <w:szCs w:val="21"/>
              </w:rPr>
              <w:t xml:space="preserve">mL　</w:t>
            </w:r>
            <w:r w:rsidR="00806F62" w:rsidRPr="00EF6BB9">
              <w:rPr>
                <w:rFonts w:ascii="ＭＳ Ｐ明朝" w:eastAsia="ＭＳ Ｐ明朝" w:hAnsi="ＭＳ Ｐ明朝"/>
                <w:szCs w:val="21"/>
              </w:rPr>
              <w:t>2</w:t>
            </w:r>
            <w:r w:rsidR="00555C09">
              <w:rPr>
                <w:rFonts w:ascii="ＭＳ Ｐ明朝" w:eastAsia="ＭＳ Ｐ明朝" w:hAnsi="ＭＳ Ｐ明朝" w:hint="eastAsia"/>
                <w:szCs w:val="21"/>
              </w:rPr>
              <w:t>3</w:t>
            </w:r>
            <w:r w:rsidR="003B771C" w:rsidRPr="00EF6BB9">
              <w:rPr>
                <w:rFonts w:ascii="ＭＳ Ｐ明朝" w:eastAsia="ＭＳ Ｐ明朝" w:hAnsi="ＭＳ Ｐ明朝" w:hint="eastAsia"/>
                <w:szCs w:val="21"/>
              </w:rPr>
              <w:t>.</w:t>
            </w:r>
            <w:r w:rsidR="00555C09">
              <w:rPr>
                <w:rFonts w:ascii="ＭＳ Ｐ明朝" w:eastAsia="ＭＳ Ｐ明朝" w:hAnsi="ＭＳ Ｐ明朝" w:hint="eastAsia"/>
                <w:szCs w:val="21"/>
              </w:rPr>
              <w:t>5</w:t>
            </w:r>
            <w:r w:rsidR="003B771C" w:rsidRPr="00EF6BB9">
              <w:rPr>
                <w:rFonts w:ascii="ＭＳ Ｐ明朝" w:eastAsia="ＭＳ Ｐ明朝" w:hAnsi="ＭＳ Ｐ明朝" w:hint="eastAsia"/>
                <w:szCs w:val="21"/>
              </w:rPr>
              <w:t>0</w:t>
            </w:r>
            <w:r w:rsidR="0022655D" w:rsidRPr="00B215BC">
              <w:rPr>
                <w:rFonts w:ascii="ＭＳ Ｐ明朝" w:eastAsia="ＭＳ Ｐ明朝" w:hAnsi="ＭＳ Ｐ明朝"/>
                <w:color w:val="000000" w:themeColor="text1"/>
                <w:szCs w:val="21"/>
              </w:rPr>
              <w:t>円</w:t>
            </w:r>
          </w:p>
        </w:tc>
        <w:tc>
          <w:tcPr>
            <w:tcW w:w="4324" w:type="dxa"/>
            <w:gridSpan w:val="2"/>
            <w:tcBorders>
              <w:bottom w:val="single" w:sz="4" w:space="0" w:color="auto"/>
              <w:right w:val="single" w:sz="12" w:space="0" w:color="auto"/>
            </w:tcBorders>
            <w:vAlign w:val="center"/>
          </w:tcPr>
          <w:p w:rsidR="0022655D" w:rsidRPr="00B215BC" w:rsidRDefault="0001022F" w:rsidP="00722702">
            <w:pPr>
              <w:pStyle w:val="a3"/>
              <w:widowControl/>
              <w:tabs>
                <w:tab w:val="clear" w:pos="4252"/>
                <w:tab w:val="clear" w:pos="8504"/>
              </w:tabs>
              <w:jc w:val="center"/>
              <w:rPr>
                <w:rFonts w:ascii="ＭＳ Ｐ明朝" w:eastAsia="ＭＳ Ｐ明朝" w:hAnsi="ＭＳ Ｐ明朝"/>
                <w:color w:val="000000" w:themeColor="text1"/>
                <w:szCs w:val="21"/>
              </w:rPr>
            </w:pPr>
            <w:r w:rsidRPr="00EF6BB9">
              <w:rPr>
                <w:rFonts w:ascii="ＭＳ Ｐ明朝" w:eastAsia="ＭＳ Ｐ明朝" w:hAnsi="ＭＳ Ｐ明朝"/>
                <w:szCs w:val="21"/>
              </w:rPr>
              <w:t>1</w:t>
            </w:r>
            <w:r w:rsidR="0022655D" w:rsidRPr="00EF6BB9">
              <w:rPr>
                <w:rFonts w:ascii="ＭＳ Ｐ明朝" w:eastAsia="ＭＳ Ｐ明朝" w:hAnsi="ＭＳ Ｐ明朝"/>
                <w:szCs w:val="21"/>
              </w:rPr>
              <w:t xml:space="preserve">mL　</w:t>
            </w:r>
            <w:r w:rsidR="009C1E49">
              <w:rPr>
                <w:rFonts w:ascii="ＭＳ Ｐ明朝" w:eastAsia="ＭＳ Ｐ明朝" w:hAnsi="ＭＳ Ｐ明朝" w:hint="eastAsia"/>
                <w:szCs w:val="21"/>
              </w:rPr>
              <w:t>5</w:t>
            </w:r>
            <w:r w:rsidR="00722702">
              <w:rPr>
                <w:rFonts w:ascii="ＭＳ Ｐ明朝" w:eastAsia="ＭＳ Ｐ明朝" w:hAnsi="ＭＳ Ｐ明朝" w:hint="eastAsia"/>
                <w:szCs w:val="21"/>
              </w:rPr>
              <w:t>3</w:t>
            </w:r>
            <w:r w:rsidR="006B4C74" w:rsidRPr="00EF6BB9">
              <w:rPr>
                <w:rFonts w:ascii="ＭＳ Ｐ明朝" w:eastAsia="ＭＳ Ｐ明朝" w:hAnsi="ＭＳ Ｐ明朝" w:hint="eastAsia"/>
                <w:szCs w:val="21"/>
              </w:rPr>
              <w:t>.</w:t>
            </w:r>
            <w:r w:rsidR="00722702">
              <w:rPr>
                <w:rFonts w:ascii="ＭＳ Ｐ明朝" w:eastAsia="ＭＳ Ｐ明朝" w:hAnsi="ＭＳ Ｐ明朝" w:hint="eastAsia"/>
                <w:szCs w:val="21"/>
              </w:rPr>
              <w:t>2</w:t>
            </w:r>
            <w:r w:rsidR="006B4C74" w:rsidRPr="00EF6BB9">
              <w:rPr>
                <w:rFonts w:ascii="ＭＳ Ｐ明朝" w:eastAsia="ＭＳ Ｐ明朝" w:hAnsi="ＭＳ Ｐ明朝" w:hint="eastAsia"/>
                <w:szCs w:val="21"/>
              </w:rPr>
              <w:t>0</w:t>
            </w:r>
            <w:r w:rsidR="0022655D" w:rsidRPr="00B215BC">
              <w:rPr>
                <w:rFonts w:ascii="ＭＳ Ｐ明朝" w:eastAsia="ＭＳ Ｐ明朝" w:hAnsi="ＭＳ Ｐ明朝"/>
                <w:color w:val="000000" w:themeColor="text1"/>
                <w:szCs w:val="21"/>
              </w:rPr>
              <w:t>円</w:t>
            </w:r>
          </w:p>
        </w:tc>
      </w:tr>
      <w:tr w:rsidR="0022655D" w:rsidRPr="00484EDE" w:rsidTr="00B215BC">
        <w:trPr>
          <w:cantSplit/>
          <w:trHeight w:val="122"/>
        </w:trPr>
        <w:tc>
          <w:tcPr>
            <w:tcW w:w="1276" w:type="dxa"/>
            <w:tcBorders>
              <w:left w:val="single" w:sz="12" w:space="0" w:color="auto"/>
              <w:right w:val="double" w:sz="4" w:space="0" w:color="auto"/>
            </w:tcBorders>
            <w:vAlign w:val="center"/>
          </w:tcPr>
          <w:p w:rsidR="0022655D" w:rsidRPr="00635ACA" w:rsidRDefault="009C1E49" w:rsidP="009C1E49">
            <w:pPr>
              <w:snapToGrid w:val="0"/>
              <w:jc w:val="center"/>
              <w:rPr>
                <w:rFonts w:ascii="MS UI Gothic" w:eastAsia="MS UI Gothic" w:hAnsi="MS UI Gothic"/>
              </w:rPr>
            </w:pPr>
            <w:r>
              <w:rPr>
                <w:rFonts w:ascii="MS UI Gothic" w:eastAsia="MS UI Gothic" w:hAnsi="MS UI Gothic" w:hint="eastAsia"/>
              </w:rPr>
              <w:t>有効</w:t>
            </w:r>
            <w:r w:rsidR="0022655D" w:rsidRPr="00635ACA">
              <w:rPr>
                <w:rFonts w:ascii="MS UI Gothic" w:eastAsia="MS UI Gothic" w:hAnsi="MS UI Gothic" w:hint="eastAsia"/>
              </w:rPr>
              <w:t>成分</w:t>
            </w:r>
          </w:p>
        </w:tc>
        <w:tc>
          <w:tcPr>
            <w:tcW w:w="8647" w:type="dxa"/>
            <w:gridSpan w:val="4"/>
            <w:tcBorders>
              <w:left w:val="double" w:sz="4" w:space="0" w:color="auto"/>
              <w:right w:val="single" w:sz="12" w:space="0" w:color="auto"/>
            </w:tcBorders>
            <w:vAlign w:val="center"/>
          </w:tcPr>
          <w:p w:rsidR="0022655D" w:rsidRPr="00B215BC" w:rsidRDefault="00EF535F" w:rsidP="00484EDE">
            <w:pPr>
              <w:pStyle w:val="a3"/>
              <w:widowControl/>
              <w:tabs>
                <w:tab w:val="clear" w:pos="4252"/>
                <w:tab w:val="clear" w:pos="8504"/>
              </w:tabs>
              <w:rPr>
                <w:rFonts w:ascii="ＭＳ Ｐ明朝" w:eastAsia="ＭＳ Ｐ明朝" w:hAnsi="ＭＳ Ｐ明朝"/>
                <w:szCs w:val="21"/>
              </w:rPr>
            </w:pPr>
            <w:r w:rsidRPr="00B215BC">
              <w:rPr>
                <w:rFonts w:ascii="ＭＳ Ｐ明朝" w:eastAsia="ＭＳ Ｐ明朝" w:hAnsi="ＭＳ Ｐ明朝"/>
                <w:szCs w:val="21"/>
              </w:rPr>
              <w:t>レボフロキサシン水和物</w:t>
            </w:r>
          </w:p>
        </w:tc>
      </w:tr>
      <w:tr w:rsidR="0022655D" w:rsidRPr="00484EDE" w:rsidTr="00B215BC">
        <w:trPr>
          <w:cantSplit/>
          <w:trHeight w:val="169"/>
        </w:trPr>
        <w:tc>
          <w:tcPr>
            <w:tcW w:w="1276" w:type="dxa"/>
            <w:tcBorders>
              <w:left w:val="single" w:sz="12" w:space="0" w:color="auto"/>
              <w:right w:val="double" w:sz="4" w:space="0" w:color="auto"/>
            </w:tcBorders>
            <w:vAlign w:val="center"/>
          </w:tcPr>
          <w:p w:rsidR="0022655D" w:rsidRPr="00635ACA" w:rsidRDefault="0022655D" w:rsidP="00484EDE">
            <w:pPr>
              <w:snapToGrid w:val="0"/>
              <w:jc w:val="center"/>
              <w:rPr>
                <w:rFonts w:ascii="MS UI Gothic" w:eastAsia="MS UI Gothic" w:hAnsi="MS UI Gothic"/>
              </w:rPr>
            </w:pPr>
            <w:r w:rsidRPr="00635ACA">
              <w:rPr>
                <w:rFonts w:ascii="MS UI Gothic" w:eastAsia="MS UI Gothic" w:hAnsi="MS UI Gothic" w:hint="eastAsia"/>
              </w:rPr>
              <w:t>規格</w:t>
            </w:r>
          </w:p>
        </w:tc>
        <w:tc>
          <w:tcPr>
            <w:tcW w:w="8647" w:type="dxa"/>
            <w:gridSpan w:val="4"/>
            <w:tcBorders>
              <w:left w:val="double" w:sz="4" w:space="0" w:color="auto"/>
              <w:right w:val="single" w:sz="12" w:space="0" w:color="auto"/>
            </w:tcBorders>
            <w:vAlign w:val="center"/>
          </w:tcPr>
          <w:p w:rsidR="0022655D" w:rsidRPr="00B215BC" w:rsidRDefault="0022655D" w:rsidP="00484EDE">
            <w:pPr>
              <w:pStyle w:val="a3"/>
              <w:widowControl/>
              <w:tabs>
                <w:tab w:val="clear" w:pos="4252"/>
                <w:tab w:val="clear" w:pos="8504"/>
              </w:tabs>
              <w:rPr>
                <w:rFonts w:ascii="ＭＳ Ｐ明朝" w:eastAsia="ＭＳ Ｐ明朝" w:hAnsi="ＭＳ Ｐ明朝"/>
                <w:szCs w:val="21"/>
              </w:rPr>
            </w:pPr>
            <w:r w:rsidRPr="00B215BC">
              <w:rPr>
                <w:rFonts w:ascii="ＭＳ Ｐ明朝" w:eastAsia="ＭＳ Ｐ明朝" w:hAnsi="ＭＳ Ｐ明朝"/>
                <w:szCs w:val="21"/>
              </w:rPr>
              <w:t>1mL中に</w:t>
            </w:r>
            <w:r w:rsidR="00831C3B" w:rsidRPr="00B215BC">
              <w:rPr>
                <w:rFonts w:ascii="ＭＳ Ｐ明朝" w:eastAsia="ＭＳ Ｐ明朝" w:hAnsi="ＭＳ Ｐ明朝"/>
                <w:szCs w:val="21"/>
              </w:rPr>
              <w:t>日局</w:t>
            </w:r>
            <w:r w:rsidR="00EF535F" w:rsidRPr="00B215BC">
              <w:rPr>
                <w:rFonts w:ascii="ＭＳ Ｐ明朝" w:eastAsia="ＭＳ Ｐ明朝" w:hAnsi="ＭＳ Ｐ明朝"/>
                <w:szCs w:val="21"/>
              </w:rPr>
              <w:t>レボフロキサシン水和物</w:t>
            </w:r>
            <w:r w:rsidR="00DB123B" w:rsidRPr="00B215BC">
              <w:rPr>
                <w:rFonts w:ascii="ＭＳ Ｐ明朝" w:eastAsia="ＭＳ Ｐ明朝" w:hAnsi="ＭＳ Ｐ明朝"/>
                <w:szCs w:val="21"/>
              </w:rPr>
              <w:t>1</w:t>
            </w:r>
            <w:r w:rsidR="00831C3B" w:rsidRPr="00B215BC">
              <w:rPr>
                <w:rFonts w:ascii="ＭＳ Ｐ明朝" w:eastAsia="ＭＳ Ｐ明朝" w:hAnsi="ＭＳ Ｐ明朝"/>
                <w:szCs w:val="21"/>
              </w:rPr>
              <w:t>5.0</w:t>
            </w:r>
            <w:r w:rsidRPr="00B215BC">
              <w:rPr>
                <w:rFonts w:ascii="ＭＳ Ｐ明朝" w:eastAsia="ＭＳ Ｐ明朝" w:hAnsi="ＭＳ Ｐ明朝"/>
                <w:szCs w:val="21"/>
              </w:rPr>
              <w:t>mgを含有する。</w:t>
            </w:r>
          </w:p>
        </w:tc>
      </w:tr>
      <w:tr w:rsidR="00771E96" w:rsidRPr="00EC59F5" w:rsidTr="00771E96">
        <w:trPr>
          <w:cantSplit/>
          <w:trHeight w:val="397"/>
        </w:trPr>
        <w:tc>
          <w:tcPr>
            <w:tcW w:w="1276" w:type="dxa"/>
            <w:tcBorders>
              <w:left w:val="single" w:sz="12" w:space="0" w:color="auto"/>
              <w:right w:val="double" w:sz="4" w:space="0" w:color="auto"/>
            </w:tcBorders>
            <w:vAlign w:val="center"/>
          </w:tcPr>
          <w:p w:rsidR="00771E96" w:rsidRPr="00635ACA" w:rsidRDefault="00771E96">
            <w:pPr>
              <w:snapToGrid w:val="0"/>
              <w:jc w:val="center"/>
              <w:rPr>
                <w:rFonts w:ascii="MS UI Gothic" w:eastAsia="MS UI Gothic" w:hAnsi="MS UI Gothic"/>
              </w:rPr>
            </w:pPr>
            <w:r w:rsidRPr="00635ACA">
              <w:rPr>
                <w:rFonts w:ascii="MS UI Gothic" w:eastAsia="MS UI Gothic" w:hAnsi="MS UI Gothic" w:hint="eastAsia"/>
              </w:rPr>
              <w:t>効能･効果</w:t>
            </w:r>
          </w:p>
        </w:tc>
        <w:tc>
          <w:tcPr>
            <w:tcW w:w="1843" w:type="dxa"/>
            <w:tcBorders>
              <w:left w:val="double" w:sz="4" w:space="0" w:color="auto"/>
              <w:right w:val="dashSmallGap" w:sz="4" w:space="0" w:color="auto"/>
            </w:tcBorders>
            <w:vAlign w:val="center"/>
          </w:tcPr>
          <w:p w:rsidR="00771E96" w:rsidRPr="00B215BC" w:rsidRDefault="00771E96" w:rsidP="0012092E">
            <w:pPr>
              <w:snapToGrid w:val="0"/>
              <w:rPr>
                <w:rFonts w:ascii="ＭＳ Ｐ明朝" w:eastAsia="ＭＳ Ｐ明朝" w:hAnsi="ＭＳ Ｐ明朝"/>
                <w:szCs w:val="21"/>
              </w:rPr>
            </w:pPr>
            <w:r w:rsidRPr="00B215BC">
              <w:rPr>
                <w:rFonts w:ascii="ＭＳ Ｐ明朝" w:eastAsia="ＭＳ Ｐ明朝" w:hAnsi="ＭＳ Ｐ明朝"/>
                <w:szCs w:val="21"/>
              </w:rPr>
              <w:t>【標準製剤と同じ】</w:t>
            </w:r>
          </w:p>
        </w:tc>
        <w:tc>
          <w:tcPr>
            <w:tcW w:w="6804" w:type="dxa"/>
            <w:gridSpan w:val="3"/>
            <w:tcBorders>
              <w:left w:val="dashSmallGap" w:sz="4" w:space="0" w:color="auto"/>
              <w:bottom w:val="nil"/>
              <w:right w:val="single" w:sz="12" w:space="0" w:color="auto"/>
            </w:tcBorders>
            <w:vAlign w:val="center"/>
          </w:tcPr>
          <w:p w:rsidR="00771E96" w:rsidRPr="00B215BC" w:rsidRDefault="00771E96" w:rsidP="00771E96">
            <w:pPr>
              <w:snapToGrid w:val="0"/>
              <w:rPr>
                <w:rFonts w:ascii="ＭＳ Ｐ明朝" w:eastAsia="ＭＳ Ｐ明朝" w:hAnsi="ＭＳ Ｐ明朝"/>
                <w:szCs w:val="21"/>
              </w:rPr>
            </w:pPr>
            <w:r w:rsidRPr="00B215BC">
              <w:rPr>
                <w:rFonts w:ascii="ＭＳ Ｐ明朝" w:eastAsia="ＭＳ Ｐ明朝" w:hAnsi="ＭＳ Ｐ明朝"/>
                <w:szCs w:val="21"/>
              </w:rPr>
              <w:t>＜適応菌種＞</w:t>
            </w:r>
          </w:p>
          <w:p w:rsidR="00771E96" w:rsidRPr="00B215BC" w:rsidRDefault="00771E96" w:rsidP="00771E96">
            <w:pPr>
              <w:snapToGrid w:val="0"/>
              <w:rPr>
                <w:rFonts w:ascii="ＭＳ Ｐ明朝" w:eastAsia="ＭＳ Ｐ明朝" w:hAnsi="ＭＳ Ｐ明朝"/>
                <w:szCs w:val="21"/>
              </w:rPr>
            </w:pPr>
            <w:r w:rsidRPr="00B215BC">
              <w:rPr>
                <w:rFonts w:ascii="ＭＳ Ｐ明朝" w:eastAsia="ＭＳ Ｐ明朝" w:hAnsi="ＭＳ Ｐ明朝"/>
                <w:szCs w:val="21"/>
              </w:rPr>
              <w:t>本剤に感性のブドウ球菌属、レンサ球菌属、肺炎球菌、腸球菌属、ミクロコッカス属、モラクセラ属、コリネバクテリウム属、クレブシエラ属、エンテロバクター属、セラチア属、プロテウス属、モルガネラ・モルガニー、インフルエンザ菌、ヘモフィルス・エジプチウス（コッホ・ウィークス菌）、シュードモナス属、緑膿菌、ステノトロホモナス（ザントモナス）・マルトフィリア、アシネトバクター属、アクネ菌＜適応症＞</w:t>
            </w:r>
          </w:p>
          <w:p w:rsidR="00771E96" w:rsidRPr="00B215BC" w:rsidRDefault="00771E96" w:rsidP="00831C3B">
            <w:pPr>
              <w:snapToGrid w:val="0"/>
              <w:rPr>
                <w:rFonts w:ascii="ＭＳ Ｐ明朝" w:eastAsia="ＭＳ Ｐ明朝" w:hAnsi="ＭＳ Ｐ明朝"/>
                <w:szCs w:val="21"/>
              </w:rPr>
            </w:pPr>
            <w:r w:rsidRPr="00B215BC">
              <w:rPr>
                <w:rFonts w:ascii="ＭＳ Ｐ明朝" w:eastAsia="ＭＳ Ｐ明朝" w:hAnsi="ＭＳ Ｐ明朝"/>
                <w:szCs w:val="21"/>
              </w:rPr>
              <w:t>眼瞼炎、涙嚢炎、麦粒腫、結膜炎、瞼板腺炎、角膜炎（角膜潰瘍を含む）、眼科周術期の無菌化療法</w:t>
            </w:r>
          </w:p>
        </w:tc>
        <w:bookmarkStart w:id="0" w:name="_GoBack"/>
        <w:bookmarkEnd w:id="0"/>
      </w:tr>
      <w:tr w:rsidR="00B14C72" w:rsidRPr="002824C6" w:rsidTr="00771E96">
        <w:trPr>
          <w:cantSplit/>
          <w:trHeight w:val="106"/>
        </w:trPr>
        <w:tc>
          <w:tcPr>
            <w:tcW w:w="1276" w:type="dxa"/>
            <w:tcBorders>
              <w:left w:val="single" w:sz="12" w:space="0" w:color="auto"/>
              <w:right w:val="double" w:sz="4" w:space="0" w:color="auto"/>
            </w:tcBorders>
            <w:vAlign w:val="center"/>
          </w:tcPr>
          <w:p w:rsidR="0022655D" w:rsidRPr="00635ACA" w:rsidRDefault="0022655D">
            <w:pPr>
              <w:snapToGrid w:val="0"/>
              <w:jc w:val="center"/>
              <w:rPr>
                <w:rFonts w:ascii="MS UI Gothic" w:eastAsia="MS UI Gothic" w:hAnsi="MS UI Gothic"/>
              </w:rPr>
            </w:pPr>
            <w:r w:rsidRPr="00635ACA">
              <w:rPr>
                <w:rFonts w:ascii="MS UI Gothic" w:eastAsia="MS UI Gothic" w:hAnsi="MS UI Gothic" w:hint="eastAsia"/>
              </w:rPr>
              <w:t>用法･用量</w:t>
            </w:r>
          </w:p>
        </w:tc>
        <w:tc>
          <w:tcPr>
            <w:tcW w:w="1843" w:type="dxa"/>
            <w:tcBorders>
              <w:left w:val="double" w:sz="4" w:space="0" w:color="auto"/>
              <w:right w:val="dashSmallGap" w:sz="4" w:space="0" w:color="auto"/>
            </w:tcBorders>
            <w:vAlign w:val="center"/>
          </w:tcPr>
          <w:p w:rsidR="0022655D" w:rsidRPr="00B215BC" w:rsidRDefault="0022655D" w:rsidP="002824C6">
            <w:pPr>
              <w:snapToGrid w:val="0"/>
              <w:jc w:val="center"/>
              <w:rPr>
                <w:rFonts w:ascii="ＭＳ Ｐ明朝" w:eastAsia="ＭＳ Ｐ明朝" w:hAnsi="ＭＳ Ｐ明朝"/>
                <w:szCs w:val="21"/>
              </w:rPr>
            </w:pPr>
            <w:r w:rsidRPr="00B215BC">
              <w:rPr>
                <w:rFonts w:ascii="ＭＳ Ｐ明朝" w:eastAsia="ＭＳ Ｐ明朝" w:hAnsi="ＭＳ Ｐ明朝"/>
                <w:szCs w:val="21"/>
              </w:rPr>
              <w:t>【</w:t>
            </w:r>
            <w:r w:rsidR="00033688" w:rsidRPr="00B215BC">
              <w:rPr>
                <w:rFonts w:ascii="ＭＳ Ｐ明朝" w:eastAsia="ＭＳ Ｐ明朝" w:hAnsi="ＭＳ Ｐ明朝"/>
                <w:szCs w:val="21"/>
              </w:rPr>
              <w:t>標準製剤</w:t>
            </w:r>
            <w:r w:rsidRPr="00B215BC">
              <w:rPr>
                <w:rFonts w:ascii="ＭＳ Ｐ明朝" w:eastAsia="ＭＳ Ｐ明朝" w:hAnsi="ＭＳ Ｐ明朝"/>
                <w:szCs w:val="21"/>
              </w:rPr>
              <w:t>と同じ】</w:t>
            </w:r>
          </w:p>
        </w:tc>
        <w:tc>
          <w:tcPr>
            <w:tcW w:w="6804" w:type="dxa"/>
            <w:gridSpan w:val="3"/>
            <w:tcBorders>
              <w:left w:val="dashSmallGap" w:sz="4" w:space="0" w:color="auto"/>
              <w:right w:val="single" w:sz="12" w:space="0" w:color="auto"/>
            </w:tcBorders>
            <w:vAlign w:val="center"/>
          </w:tcPr>
          <w:p w:rsidR="0022655D" w:rsidRPr="00B215BC" w:rsidRDefault="00831C3B" w:rsidP="002824C6">
            <w:pPr>
              <w:snapToGrid w:val="0"/>
              <w:jc w:val="left"/>
              <w:rPr>
                <w:rFonts w:ascii="ＭＳ Ｐ明朝" w:eastAsia="ＭＳ Ｐ明朝" w:hAnsi="ＭＳ Ｐ明朝"/>
                <w:szCs w:val="21"/>
              </w:rPr>
            </w:pPr>
            <w:r w:rsidRPr="00B215BC">
              <w:rPr>
                <w:rFonts w:ascii="ＭＳ Ｐ明朝" w:eastAsia="ＭＳ Ｐ明朝" w:hAnsi="ＭＳ Ｐ明朝"/>
                <w:szCs w:val="21"/>
              </w:rPr>
              <w:t>通常、１回１滴、１日３回点眼する。なお、症状により適宜増減する。</w:t>
            </w:r>
          </w:p>
        </w:tc>
      </w:tr>
      <w:tr w:rsidR="0022655D" w:rsidRPr="00EC59F5" w:rsidTr="00B215BC">
        <w:trPr>
          <w:cantSplit/>
          <w:trHeight w:val="89"/>
        </w:trPr>
        <w:tc>
          <w:tcPr>
            <w:tcW w:w="1276" w:type="dxa"/>
            <w:tcBorders>
              <w:left w:val="single" w:sz="12" w:space="0" w:color="auto"/>
              <w:bottom w:val="single" w:sz="4" w:space="0" w:color="auto"/>
              <w:right w:val="double" w:sz="4" w:space="0" w:color="auto"/>
            </w:tcBorders>
            <w:vAlign w:val="center"/>
          </w:tcPr>
          <w:p w:rsidR="0022655D" w:rsidRPr="00635ACA" w:rsidRDefault="0022655D" w:rsidP="00555C09">
            <w:pPr>
              <w:snapToGrid w:val="0"/>
              <w:jc w:val="center"/>
              <w:rPr>
                <w:rFonts w:ascii="MS UI Gothic" w:eastAsia="MS UI Gothic" w:hAnsi="MS UI Gothic"/>
              </w:rPr>
            </w:pPr>
            <w:r w:rsidRPr="00635ACA">
              <w:rPr>
                <w:rFonts w:ascii="MS UI Gothic" w:eastAsia="MS UI Gothic" w:hAnsi="MS UI Gothic" w:hint="eastAsia"/>
              </w:rPr>
              <w:t>添加</w:t>
            </w:r>
            <w:r w:rsidR="00555C09">
              <w:rPr>
                <w:rFonts w:ascii="MS UI Gothic" w:eastAsia="MS UI Gothic" w:hAnsi="MS UI Gothic" w:hint="eastAsia"/>
              </w:rPr>
              <w:t>剤</w:t>
            </w:r>
          </w:p>
        </w:tc>
        <w:tc>
          <w:tcPr>
            <w:tcW w:w="4323" w:type="dxa"/>
            <w:gridSpan w:val="2"/>
            <w:tcBorders>
              <w:left w:val="double" w:sz="4" w:space="0" w:color="auto"/>
              <w:bottom w:val="single" w:sz="4" w:space="0" w:color="auto"/>
            </w:tcBorders>
            <w:vAlign w:val="center"/>
          </w:tcPr>
          <w:p w:rsidR="0022655D" w:rsidRPr="00B215BC" w:rsidRDefault="00831C3B" w:rsidP="00831C3B">
            <w:pPr>
              <w:widowControl/>
              <w:snapToGrid w:val="0"/>
              <w:rPr>
                <w:rFonts w:ascii="ＭＳ Ｐ明朝" w:eastAsia="ＭＳ Ｐ明朝" w:hAnsi="ＭＳ Ｐ明朝"/>
                <w:szCs w:val="21"/>
              </w:rPr>
            </w:pPr>
            <w:r w:rsidRPr="00B215BC">
              <w:rPr>
                <w:rFonts w:ascii="ＭＳ Ｐ明朝" w:eastAsia="ＭＳ Ｐ明朝" w:hAnsi="ＭＳ Ｐ明朝"/>
                <w:szCs w:val="21"/>
              </w:rPr>
              <w:t>塩化ナトリウム、</w:t>
            </w:r>
            <w:r w:rsidR="00914905" w:rsidRPr="00B215BC">
              <w:rPr>
                <w:rFonts w:ascii="ＭＳ Ｐ明朝" w:eastAsia="ＭＳ Ｐ明朝" w:hAnsi="ＭＳ Ｐ明朝"/>
                <w:szCs w:val="21"/>
              </w:rPr>
              <w:t>pH</w:t>
            </w:r>
            <w:r w:rsidRPr="00B215BC">
              <w:rPr>
                <w:rFonts w:ascii="ＭＳ Ｐ明朝" w:eastAsia="ＭＳ Ｐ明朝" w:hAnsi="ＭＳ Ｐ明朝"/>
                <w:szCs w:val="21"/>
              </w:rPr>
              <w:t>調節剤</w:t>
            </w:r>
          </w:p>
        </w:tc>
        <w:tc>
          <w:tcPr>
            <w:tcW w:w="4324" w:type="dxa"/>
            <w:gridSpan w:val="2"/>
            <w:tcBorders>
              <w:top w:val="single" w:sz="2" w:space="0" w:color="auto"/>
              <w:bottom w:val="single" w:sz="4" w:space="0" w:color="auto"/>
              <w:right w:val="single" w:sz="12" w:space="0" w:color="auto"/>
            </w:tcBorders>
            <w:vAlign w:val="center"/>
          </w:tcPr>
          <w:p w:rsidR="0022655D" w:rsidRPr="00B215BC" w:rsidRDefault="00E41B9F" w:rsidP="00831C3B">
            <w:pPr>
              <w:widowControl/>
              <w:snapToGrid w:val="0"/>
              <w:rPr>
                <w:rFonts w:ascii="ＭＳ Ｐ明朝" w:eastAsia="ＭＳ Ｐ明朝" w:hAnsi="ＭＳ Ｐ明朝"/>
                <w:szCs w:val="21"/>
              </w:rPr>
            </w:pPr>
            <w:r w:rsidRPr="00B215BC">
              <w:rPr>
                <w:rFonts w:ascii="ＭＳ Ｐ明朝" w:eastAsia="ＭＳ Ｐ明朝" w:hAnsi="ＭＳ Ｐ明朝"/>
                <w:szCs w:val="21"/>
              </w:rPr>
              <w:t>濃グリセリン</w:t>
            </w:r>
            <w:r w:rsidR="00831C3B" w:rsidRPr="00B215BC">
              <w:rPr>
                <w:rFonts w:ascii="ＭＳ Ｐ明朝" w:eastAsia="ＭＳ Ｐ明朝" w:hAnsi="ＭＳ Ｐ明朝"/>
                <w:szCs w:val="21"/>
              </w:rPr>
              <w:t>、</w:t>
            </w:r>
            <w:r w:rsidR="00914905" w:rsidRPr="00B215BC">
              <w:rPr>
                <w:rFonts w:ascii="ＭＳ Ｐ明朝" w:eastAsia="ＭＳ Ｐ明朝" w:hAnsi="ＭＳ Ｐ明朝"/>
                <w:szCs w:val="21"/>
              </w:rPr>
              <w:t>pH</w:t>
            </w:r>
            <w:r w:rsidR="00831C3B" w:rsidRPr="00B215BC">
              <w:rPr>
                <w:rFonts w:ascii="ＭＳ Ｐ明朝" w:eastAsia="ＭＳ Ｐ明朝" w:hAnsi="ＭＳ Ｐ明朝"/>
                <w:szCs w:val="21"/>
              </w:rPr>
              <w:t>調節剤</w:t>
            </w:r>
          </w:p>
        </w:tc>
      </w:tr>
      <w:tr w:rsidR="0022655D" w:rsidRPr="00EC59F5" w:rsidTr="00B215BC">
        <w:trPr>
          <w:cantSplit/>
          <w:trHeight w:val="737"/>
        </w:trPr>
        <w:tc>
          <w:tcPr>
            <w:tcW w:w="1276" w:type="dxa"/>
            <w:tcBorders>
              <w:left w:val="single" w:sz="12" w:space="0" w:color="auto"/>
              <w:bottom w:val="single" w:sz="4" w:space="0" w:color="auto"/>
              <w:right w:val="double" w:sz="4" w:space="0" w:color="auto"/>
            </w:tcBorders>
            <w:vAlign w:val="center"/>
          </w:tcPr>
          <w:p w:rsidR="0022655D" w:rsidRPr="00635ACA" w:rsidRDefault="0022655D" w:rsidP="00B215BC">
            <w:pPr>
              <w:snapToGrid w:val="0"/>
              <w:jc w:val="center"/>
              <w:rPr>
                <w:rFonts w:ascii="MS UI Gothic" w:eastAsia="MS UI Gothic" w:hAnsi="MS UI Gothic"/>
              </w:rPr>
            </w:pPr>
            <w:r w:rsidRPr="00635ACA">
              <w:rPr>
                <w:rFonts w:ascii="MS UI Gothic" w:eastAsia="MS UI Gothic" w:hAnsi="MS UI Gothic" w:hint="eastAsia"/>
              </w:rPr>
              <w:t>製品の性状</w:t>
            </w:r>
          </w:p>
        </w:tc>
        <w:tc>
          <w:tcPr>
            <w:tcW w:w="4323" w:type="dxa"/>
            <w:gridSpan w:val="2"/>
            <w:tcBorders>
              <w:left w:val="double" w:sz="4" w:space="0" w:color="auto"/>
              <w:bottom w:val="single" w:sz="4" w:space="0" w:color="auto"/>
            </w:tcBorders>
          </w:tcPr>
          <w:p w:rsidR="0022655D" w:rsidRPr="00B215BC" w:rsidRDefault="0022655D">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pH：6.</w:t>
            </w:r>
            <w:r w:rsidR="00E41B9F" w:rsidRPr="00B215BC">
              <w:rPr>
                <w:rFonts w:ascii="ＭＳ Ｐ明朝" w:eastAsia="ＭＳ Ｐ明朝" w:hAnsi="ＭＳ Ｐ明朝"/>
                <w:szCs w:val="21"/>
              </w:rPr>
              <w:t>1</w:t>
            </w:r>
            <w:r w:rsidRPr="00B215BC">
              <w:rPr>
                <w:rFonts w:ascii="ＭＳ Ｐ明朝" w:eastAsia="ＭＳ Ｐ明朝" w:hAnsi="ＭＳ Ｐ明朝"/>
                <w:szCs w:val="21"/>
              </w:rPr>
              <w:t>～</w:t>
            </w:r>
            <w:r w:rsidR="00831C3B" w:rsidRPr="00B215BC">
              <w:rPr>
                <w:rFonts w:ascii="ＭＳ Ｐ明朝" w:eastAsia="ＭＳ Ｐ明朝" w:hAnsi="ＭＳ Ｐ明朝"/>
                <w:szCs w:val="21"/>
              </w:rPr>
              <w:t>6</w:t>
            </w:r>
            <w:r w:rsidRPr="00B215BC">
              <w:rPr>
                <w:rFonts w:ascii="ＭＳ Ｐ明朝" w:eastAsia="ＭＳ Ｐ明朝" w:hAnsi="ＭＳ Ｐ明朝"/>
                <w:szCs w:val="21"/>
              </w:rPr>
              <w:t>.</w:t>
            </w:r>
            <w:r w:rsidR="00E41B9F" w:rsidRPr="00B215BC">
              <w:rPr>
                <w:rFonts w:ascii="ＭＳ Ｐ明朝" w:eastAsia="ＭＳ Ｐ明朝" w:hAnsi="ＭＳ Ｐ明朝"/>
                <w:szCs w:val="21"/>
              </w:rPr>
              <w:t>9</w:t>
            </w:r>
          </w:p>
          <w:p w:rsidR="0022655D" w:rsidRPr="00B215BC" w:rsidRDefault="0022655D">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浸透圧比：</w:t>
            </w:r>
            <w:r w:rsidR="00831C3B" w:rsidRPr="00B215BC">
              <w:rPr>
                <w:rFonts w:ascii="ＭＳ Ｐ明朝" w:eastAsia="ＭＳ Ｐ明朝" w:hAnsi="ＭＳ Ｐ明朝"/>
                <w:szCs w:val="21"/>
              </w:rPr>
              <w:t>1.0</w:t>
            </w:r>
            <w:r w:rsidR="00FB6796" w:rsidRPr="00B215BC">
              <w:rPr>
                <w:rFonts w:ascii="ＭＳ Ｐ明朝" w:eastAsia="ＭＳ Ｐ明朝" w:hAnsi="ＭＳ Ｐ明朝"/>
                <w:szCs w:val="21"/>
              </w:rPr>
              <w:t>～1.1</w:t>
            </w:r>
          </w:p>
          <w:p w:rsidR="0022655D" w:rsidRPr="00B215BC" w:rsidRDefault="0022655D" w:rsidP="00E41B9F">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性状：</w:t>
            </w:r>
            <w:r w:rsidR="00771E96">
              <w:rPr>
                <w:rFonts w:ascii="ＭＳ Ｐ明朝" w:eastAsia="ＭＳ Ｐ明朝" w:hAnsi="ＭＳ Ｐ明朝"/>
                <w:szCs w:val="21"/>
              </w:rPr>
              <w:t>微黄色～黄色澄明</w:t>
            </w:r>
            <w:r w:rsidR="00771E96">
              <w:rPr>
                <w:rFonts w:ascii="ＭＳ Ｐ明朝" w:eastAsia="ＭＳ Ｐ明朝" w:hAnsi="ＭＳ Ｐ明朝" w:hint="eastAsia"/>
                <w:szCs w:val="21"/>
              </w:rPr>
              <w:t>の</w:t>
            </w:r>
            <w:r w:rsidR="00831C3B" w:rsidRPr="00B215BC">
              <w:rPr>
                <w:rFonts w:ascii="ＭＳ Ｐ明朝" w:eastAsia="ＭＳ Ｐ明朝" w:hAnsi="ＭＳ Ｐ明朝"/>
                <w:szCs w:val="21"/>
              </w:rPr>
              <w:t>無菌水性点眼剤</w:t>
            </w:r>
          </w:p>
        </w:tc>
        <w:tc>
          <w:tcPr>
            <w:tcW w:w="4324" w:type="dxa"/>
            <w:gridSpan w:val="2"/>
            <w:tcBorders>
              <w:top w:val="single" w:sz="2" w:space="0" w:color="auto"/>
              <w:bottom w:val="single" w:sz="4" w:space="0" w:color="auto"/>
              <w:right w:val="single" w:sz="12" w:space="0" w:color="auto"/>
            </w:tcBorders>
          </w:tcPr>
          <w:p w:rsidR="0022655D" w:rsidRPr="00B215BC" w:rsidRDefault="0022655D">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pH：6.</w:t>
            </w:r>
            <w:r w:rsidR="00E41B9F" w:rsidRPr="00B215BC">
              <w:rPr>
                <w:rFonts w:ascii="ＭＳ Ｐ明朝" w:eastAsia="ＭＳ Ｐ明朝" w:hAnsi="ＭＳ Ｐ明朝"/>
                <w:szCs w:val="21"/>
              </w:rPr>
              <w:t>1</w:t>
            </w:r>
            <w:r w:rsidRPr="00B215BC">
              <w:rPr>
                <w:rFonts w:ascii="ＭＳ Ｐ明朝" w:eastAsia="ＭＳ Ｐ明朝" w:hAnsi="ＭＳ Ｐ明朝"/>
                <w:szCs w:val="21"/>
              </w:rPr>
              <w:t>～</w:t>
            </w:r>
            <w:r w:rsidR="00831C3B" w:rsidRPr="00B215BC">
              <w:rPr>
                <w:rFonts w:ascii="ＭＳ Ｐ明朝" w:eastAsia="ＭＳ Ｐ明朝" w:hAnsi="ＭＳ Ｐ明朝"/>
                <w:szCs w:val="21"/>
              </w:rPr>
              <w:t>6</w:t>
            </w:r>
            <w:r w:rsidRPr="00B215BC">
              <w:rPr>
                <w:rFonts w:ascii="ＭＳ Ｐ明朝" w:eastAsia="ＭＳ Ｐ明朝" w:hAnsi="ＭＳ Ｐ明朝"/>
                <w:szCs w:val="21"/>
              </w:rPr>
              <w:t>.</w:t>
            </w:r>
            <w:r w:rsidR="00E41B9F" w:rsidRPr="00B215BC">
              <w:rPr>
                <w:rFonts w:ascii="ＭＳ Ｐ明朝" w:eastAsia="ＭＳ Ｐ明朝" w:hAnsi="ＭＳ Ｐ明朝"/>
                <w:szCs w:val="21"/>
              </w:rPr>
              <w:t>9</w:t>
            </w:r>
          </w:p>
          <w:p w:rsidR="0022655D" w:rsidRPr="00B215BC" w:rsidRDefault="0022655D">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浸透圧比：</w:t>
            </w:r>
            <w:r w:rsidR="00831C3B" w:rsidRPr="00B215BC">
              <w:rPr>
                <w:rFonts w:ascii="ＭＳ Ｐ明朝" w:eastAsia="ＭＳ Ｐ明朝" w:hAnsi="ＭＳ Ｐ明朝"/>
                <w:szCs w:val="21"/>
              </w:rPr>
              <w:t>1.0</w:t>
            </w:r>
            <w:r w:rsidRPr="00B215BC">
              <w:rPr>
                <w:rFonts w:ascii="ＭＳ Ｐ明朝" w:eastAsia="ＭＳ Ｐ明朝" w:hAnsi="ＭＳ Ｐ明朝"/>
                <w:szCs w:val="21"/>
              </w:rPr>
              <w:t>～1.1</w:t>
            </w:r>
          </w:p>
          <w:p w:rsidR="0022655D" w:rsidRPr="00B215BC" w:rsidRDefault="0022655D" w:rsidP="00E41B9F">
            <w:pPr>
              <w:widowControl/>
              <w:snapToGrid w:val="0"/>
              <w:ind w:left="340" w:hangingChars="162" w:hanging="340"/>
              <w:jc w:val="left"/>
              <w:rPr>
                <w:rFonts w:ascii="ＭＳ Ｐ明朝" w:eastAsia="ＭＳ Ｐ明朝" w:hAnsi="ＭＳ Ｐ明朝"/>
                <w:szCs w:val="21"/>
              </w:rPr>
            </w:pPr>
            <w:r w:rsidRPr="00B215BC">
              <w:rPr>
                <w:rFonts w:ascii="ＭＳ Ｐ明朝" w:eastAsia="ＭＳ Ｐ明朝" w:hAnsi="ＭＳ Ｐ明朝"/>
                <w:szCs w:val="21"/>
              </w:rPr>
              <w:t>性状：</w:t>
            </w:r>
            <w:r w:rsidR="00831C3B" w:rsidRPr="00B215BC">
              <w:rPr>
                <w:rFonts w:ascii="ＭＳ Ｐ明朝" w:eastAsia="ＭＳ Ｐ明朝" w:hAnsi="ＭＳ Ｐ明朝"/>
                <w:szCs w:val="21"/>
              </w:rPr>
              <w:t>微黄色～黄色澄明、無菌水性点眼剤</w:t>
            </w:r>
          </w:p>
        </w:tc>
      </w:tr>
      <w:tr w:rsidR="00771E96" w:rsidRPr="00EC59F5" w:rsidTr="00771E96">
        <w:trPr>
          <w:cantSplit/>
          <w:trHeight w:val="88"/>
        </w:trPr>
        <w:tc>
          <w:tcPr>
            <w:tcW w:w="1276" w:type="dxa"/>
            <w:tcBorders>
              <w:left w:val="single" w:sz="12" w:space="0" w:color="auto"/>
              <w:bottom w:val="single" w:sz="4" w:space="0" w:color="auto"/>
              <w:right w:val="double" w:sz="4" w:space="0" w:color="auto"/>
            </w:tcBorders>
            <w:vAlign w:val="center"/>
          </w:tcPr>
          <w:p w:rsidR="00771E96" w:rsidRPr="00635ACA" w:rsidRDefault="00771E96" w:rsidP="00771E96">
            <w:pPr>
              <w:snapToGrid w:val="0"/>
              <w:jc w:val="center"/>
              <w:rPr>
                <w:rFonts w:ascii="ＭＳ ゴシック" w:eastAsia="ＭＳ ゴシック" w:hAnsi="ＭＳ ゴシック"/>
              </w:rPr>
            </w:pPr>
            <w:r>
              <w:rPr>
                <w:rFonts w:ascii="ＭＳ ゴシック" w:eastAsia="ＭＳ ゴシック" w:hAnsi="ＭＳ ゴシック" w:hint="eastAsia"/>
              </w:rPr>
              <w:t>規制区分</w:t>
            </w:r>
          </w:p>
        </w:tc>
        <w:tc>
          <w:tcPr>
            <w:tcW w:w="1843" w:type="dxa"/>
            <w:tcBorders>
              <w:left w:val="double" w:sz="4" w:space="0" w:color="auto"/>
              <w:bottom w:val="single" w:sz="4" w:space="0" w:color="auto"/>
              <w:right w:val="dashSmallGap" w:sz="4" w:space="0" w:color="auto"/>
            </w:tcBorders>
            <w:vAlign w:val="center"/>
          </w:tcPr>
          <w:p w:rsidR="00771E96" w:rsidRPr="00B215BC" w:rsidRDefault="00771E96" w:rsidP="00771E96">
            <w:pPr>
              <w:snapToGrid w:val="0"/>
              <w:jc w:val="center"/>
              <w:rPr>
                <w:rFonts w:ascii="ＭＳ Ｐ明朝" w:eastAsia="ＭＳ Ｐ明朝" w:hAnsi="ＭＳ Ｐ明朝"/>
                <w:szCs w:val="21"/>
              </w:rPr>
            </w:pPr>
            <w:r w:rsidRPr="00B215BC">
              <w:rPr>
                <w:rFonts w:ascii="ＭＳ Ｐ明朝" w:eastAsia="ＭＳ Ｐ明朝" w:hAnsi="ＭＳ Ｐ明朝"/>
                <w:szCs w:val="21"/>
              </w:rPr>
              <w:t>【標準製剤と同じ】</w:t>
            </w:r>
          </w:p>
        </w:tc>
        <w:tc>
          <w:tcPr>
            <w:tcW w:w="6804" w:type="dxa"/>
            <w:gridSpan w:val="3"/>
            <w:tcBorders>
              <w:left w:val="dashSmallGap" w:sz="4" w:space="0" w:color="auto"/>
              <w:bottom w:val="single" w:sz="4" w:space="0" w:color="auto"/>
              <w:right w:val="single" w:sz="12" w:space="0" w:color="auto"/>
            </w:tcBorders>
            <w:vAlign w:val="center"/>
          </w:tcPr>
          <w:p w:rsidR="00771E96" w:rsidRPr="00B215BC" w:rsidRDefault="00771E96" w:rsidP="00771E96">
            <w:pPr>
              <w:widowControl/>
              <w:snapToGrid w:val="0"/>
              <w:rPr>
                <w:rFonts w:ascii="ＭＳ Ｐ明朝" w:eastAsia="ＭＳ Ｐ明朝" w:hAnsi="ＭＳ Ｐ明朝"/>
                <w:szCs w:val="21"/>
              </w:rPr>
            </w:pPr>
            <w:r>
              <w:rPr>
                <w:rFonts w:ascii="ＭＳ Ｐ明朝" w:eastAsia="ＭＳ Ｐ明朝" w:hAnsi="ＭＳ Ｐ明朝" w:hint="eastAsia"/>
                <w:szCs w:val="21"/>
              </w:rPr>
              <w:t>処方箋</w:t>
            </w:r>
            <w:r w:rsidRPr="00B215BC">
              <w:rPr>
                <w:rFonts w:ascii="ＭＳ Ｐ明朝" w:eastAsia="ＭＳ Ｐ明朝" w:hAnsi="ＭＳ Ｐ明朝" w:hint="eastAsia"/>
                <w:szCs w:val="21"/>
              </w:rPr>
              <w:t>医薬品</w:t>
            </w:r>
          </w:p>
        </w:tc>
      </w:tr>
      <w:tr w:rsidR="00771E96" w:rsidRPr="00EC59F5" w:rsidTr="00771E96">
        <w:trPr>
          <w:cantSplit/>
          <w:trHeight w:val="233"/>
        </w:trPr>
        <w:tc>
          <w:tcPr>
            <w:tcW w:w="1276" w:type="dxa"/>
            <w:tcBorders>
              <w:left w:val="single" w:sz="12" w:space="0" w:color="auto"/>
              <w:bottom w:val="single" w:sz="4" w:space="0" w:color="auto"/>
              <w:right w:val="double" w:sz="4" w:space="0" w:color="auto"/>
            </w:tcBorders>
            <w:vAlign w:val="center"/>
          </w:tcPr>
          <w:p w:rsidR="00771E96" w:rsidRPr="00635ACA" w:rsidRDefault="00771E96" w:rsidP="00771E96">
            <w:pPr>
              <w:snapToGrid w:val="0"/>
              <w:jc w:val="center"/>
              <w:rPr>
                <w:rFonts w:ascii="ＭＳ ゴシック" w:eastAsia="ＭＳ ゴシック" w:hAnsi="ＭＳ ゴシック"/>
              </w:rPr>
            </w:pPr>
            <w:r w:rsidRPr="00635ACA">
              <w:rPr>
                <w:rFonts w:ascii="ＭＳ ゴシック" w:eastAsia="ＭＳ ゴシック" w:hAnsi="ＭＳ ゴシック" w:hint="eastAsia"/>
              </w:rPr>
              <w:t>貯法</w:t>
            </w:r>
          </w:p>
        </w:tc>
        <w:tc>
          <w:tcPr>
            <w:tcW w:w="1843" w:type="dxa"/>
            <w:tcBorders>
              <w:left w:val="double" w:sz="4" w:space="0" w:color="auto"/>
              <w:bottom w:val="single" w:sz="4" w:space="0" w:color="auto"/>
              <w:right w:val="dashSmallGap" w:sz="4" w:space="0" w:color="auto"/>
            </w:tcBorders>
            <w:vAlign w:val="center"/>
          </w:tcPr>
          <w:p w:rsidR="00771E96" w:rsidRPr="00B215BC" w:rsidRDefault="00771E96" w:rsidP="00771E96">
            <w:pPr>
              <w:pStyle w:val="a3"/>
              <w:widowControl/>
              <w:tabs>
                <w:tab w:val="clear" w:pos="4252"/>
                <w:tab w:val="clear" w:pos="8504"/>
              </w:tabs>
              <w:rPr>
                <w:rFonts w:ascii="ＭＳ Ｐ明朝" w:eastAsia="ＭＳ Ｐ明朝" w:hAnsi="ＭＳ Ｐ明朝"/>
                <w:szCs w:val="21"/>
              </w:rPr>
            </w:pPr>
            <w:r w:rsidRPr="00B215BC">
              <w:rPr>
                <w:rFonts w:ascii="ＭＳ Ｐ明朝" w:eastAsia="ＭＳ Ｐ明朝" w:hAnsi="ＭＳ Ｐ明朝"/>
                <w:szCs w:val="21"/>
              </w:rPr>
              <w:t>【標準製剤と同じ】</w:t>
            </w:r>
          </w:p>
        </w:tc>
        <w:tc>
          <w:tcPr>
            <w:tcW w:w="6804" w:type="dxa"/>
            <w:gridSpan w:val="3"/>
            <w:tcBorders>
              <w:left w:val="dashSmallGap" w:sz="4" w:space="0" w:color="auto"/>
              <w:bottom w:val="single" w:sz="4" w:space="0" w:color="auto"/>
              <w:right w:val="single" w:sz="12" w:space="0" w:color="auto"/>
            </w:tcBorders>
            <w:vAlign w:val="center"/>
          </w:tcPr>
          <w:p w:rsidR="00771E96" w:rsidRPr="00B215BC" w:rsidRDefault="00771E96" w:rsidP="00771E96">
            <w:pPr>
              <w:widowControl/>
              <w:snapToGrid w:val="0"/>
              <w:rPr>
                <w:rFonts w:ascii="ＭＳ Ｐ明朝" w:eastAsia="ＭＳ Ｐ明朝" w:hAnsi="ＭＳ Ｐ明朝"/>
                <w:szCs w:val="21"/>
              </w:rPr>
            </w:pPr>
            <w:r w:rsidRPr="00B215BC">
              <w:rPr>
                <w:rFonts w:ascii="ＭＳ Ｐ明朝" w:eastAsia="ＭＳ Ｐ明朝" w:hAnsi="ＭＳ Ｐ明朝"/>
                <w:szCs w:val="21"/>
              </w:rPr>
              <w:t>室温保存</w:t>
            </w:r>
          </w:p>
        </w:tc>
      </w:tr>
      <w:tr w:rsidR="00771E96" w:rsidRPr="00EC59F5" w:rsidTr="00771E96">
        <w:trPr>
          <w:cantSplit/>
          <w:trHeight w:val="233"/>
        </w:trPr>
        <w:tc>
          <w:tcPr>
            <w:tcW w:w="1276" w:type="dxa"/>
            <w:tcBorders>
              <w:left w:val="single" w:sz="12" w:space="0" w:color="auto"/>
              <w:bottom w:val="single" w:sz="4" w:space="0" w:color="auto"/>
              <w:right w:val="double" w:sz="4" w:space="0" w:color="auto"/>
            </w:tcBorders>
            <w:vAlign w:val="center"/>
          </w:tcPr>
          <w:p w:rsidR="00771E96" w:rsidRPr="00635ACA" w:rsidRDefault="00771E96" w:rsidP="00771E96">
            <w:pPr>
              <w:snapToGrid w:val="0"/>
              <w:jc w:val="center"/>
              <w:rPr>
                <w:rFonts w:ascii="ＭＳ ゴシック" w:eastAsia="ＭＳ ゴシック" w:hAnsi="ＭＳ ゴシック"/>
              </w:rPr>
            </w:pPr>
            <w:r>
              <w:rPr>
                <w:rFonts w:ascii="ＭＳ ゴシック" w:eastAsia="ＭＳ ゴシック" w:hAnsi="ＭＳ ゴシック" w:hint="eastAsia"/>
              </w:rPr>
              <w:t>取扱い上の注意</w:t>
            </w:r>
          </w:p>
        </w:tc>
        <w:tc>
          <w:tcPr>
            <w:tcW w:w="1843" w:type="dxa"/>
            <w:tcBorders>
              <w:left w:val="double" w:sz="4" w:space="0" w:color="auto"/>
              <w:bottom w:val="single" w:sz="4" w:space="0" w:color="auto"/>
              <w:right w:val="dashSmallGap" w:sz="4" w:space="0" w:color="auto"/>
            </w:tcBorders>
            <w:vAlign w:val="center"/>
          </w:tcPr>
          <w:p w:rsidR="00771E96" w:rsidRPr="00B215BC" w:rsidRDefault="00771E96" w:rsidP="00771E96">
            <w:pPr>
              <w:pStyle w:val="a3"/>
              <w:widowControl/>
              <w:tabs>
                <w:tab w:val="clear" w:pos="4252"/>
                <w:tab w:val="clear" w:pos="8504"/>
              </w:tabs>
              <w:rPr>
                <w:rFonts w:ascii="ＭＳ Ｐ明朝" w:eastAsia="ＭＳ Ｐ明朝" w:hAnsi="ＭＳ Ｐ明朝"/>
                <w:szCs w:val="21"/>
              </w:rPr>
            </w:pPr>
            <w:r w:rsidRPr="00B215BC">
              <w:rPr>
                <w:rFonts w:ascii="ＭＳ Ｐ明朝" w:eastAsia="ＭＳ Ｐ明朝" w:hAnsi="ＭＳ Ｐ明朝"/>
                <w:szCs w:val="21"/>
              </w:rPr>
              <w:t>【標準製剤と同じ】</w:t>
            </w:r>
          </w:p>
        </w:tc>
        <w:tc>
          <w:tcPr>
            <w:tcW w:w="6804" w:type="dxa"/>
            <w:gridSpan w:val="3"/>
            <w:tcBorders>
              <w:left w:val="dashSmallGap" w:sz="4" w:space="0" w:color="auto"/>
              <w:bottom w:val="single" w:sz="4" w:space="0" w:color="auto"/>
              <w:right w:val="single" w:sz="12" w:space="0" w:color="auto"/>
            </w:tcBorders>
            <w:vAlign w:val="center"/>
          </w:tcPr>
          <w:p w:rsidR="00771E96" w:rsidRPr="00B215BC" w:rsidRDefault="00771E96" w:rsidP="00771E96">
            <w:pPr>
              <w:widowControl/>
              <w:snapToGrid w:val="0"/>
              <w:rPr>
                <w:rFonts w:ascii="ＭＳ Ｐ明朝" w:eastAsia="ＭＳ Ｐ明朝" w:hAnsi="ＭＳ Ｐ明朝"/>
                <w:szCs w:val="21"/>
              </w:rPr>
            </w:pPr>
            <w:r>
              <w:rPr>
                <w:rFonts w:ascii="ＭＳ Ｐ明朝" w:eastAsia="ＭＳ Ｐ明朝" w:hAnsi="ＭＳ Ｐ明朝" w:hint="eastAsia"/>
                <w:szCs w:val="21"/>
              </w:rPr>
              <w:t>外箱開封後は、遮光して保存すること。</w:t>
            </w:r>
          </w:p>
        </w:tc>
      </w:tr>
      <w:tr w:rsidR="00771E96" w:rsidRPr="00EC59F5" w:rsidTr="00531D4B">
        <w:trPr>
          <w:cantSplit/>
          <w:trHeight w:val="276"/>
        </w:trPr>
        <w:tc>
          <w:tcPr>
            <w:tcW w:w="1276" w:type="dxa"/>
            <w:tcBorders>
              <w:left w:val="single" w:sz="12" w:space="0" w:color="auto"/>
              <w:bottom w:val="single" w:sz="4" w:space="0" w:color="auto"/>
              <w:right w:val="double" w:sz="4" w:space="0" w:color="auto"/>
            </w:tcBorders>
            <w:vAlign w:val="center"/>
          </w:tcPr>
          <w:p w:rsidR="00771E96" w:rsidRPr="00E404F4" w:rsidRDefault="00771E96" w:rsidP="00771E96">
            <w:pPr>
              <w:snapToGrid w:val="0"/>
              <w:jc w:val="center"/>
              <w:rPr>
                <w:rFonts w:ascii="MS UI Gothic" w:eastAsia="MS UI Gothic" w:hAnsi="MS UI Gothic"/>
              </w:rPr>
            </w:pPr>
            <w:r w:rsidRPr="00E404F4">
              <w:rPr>
                <w:rFonts w:ascii="MS UI Gothic" w:eastAsia="MS UI Gothic" w:hAnsi="MS UI Gothic" w:hint="eastAsia"/>
              </w:rPr>
              <w:t>生物学的</w:t>
            </w:r>
          </w:p>
          <w:p w:rsidR="00771E96" w:rsidRPr="00E404F4" w:rsidRDefault="00771E96" w:rsidP="00771E96">
            <w:pPr>
              <w:jc w:val="center"/>
              <w:rPr>
                <w:rFonts w:ascii="MS UI Gothic" w:eastAsia="MS UI Gothic" w:hAnsi="MS UI Gothic"/>
              </w:rPr>
            </w:pPr>
            <w:r w:rsidRPr="00E404F4">
              <w:rPr>
                <w:rFonts w:ascii="MS UI Gothic" w:eastAsia="MS UI Gothic" w:hAnsi="MS UI Gothic" w:hint="eastAsia"/>
              </w:rPr>
              <w:t>同等性</w:t>
            </w:r>
          </w:p>
        </w:tc>
        <w:tc>
          <w:tcPr>
            <w:tcW w:w="8647" w:type="dxa"/>
            <w:gridSpan w:val="4"/>
            <w:tcBorders>
              <w:top w:val="single" w:sz="4" w:space="0" w:color="auto"/>
              <w:left w:val="double" w:sz="4" w:space="0" w:color="auto"/>
              <w:bottom w:val="single" w:sz="4" w:space="0" w:color="auto"/>
              <w:right w:val="single" w:sz="12" w:space="0" w:color="auto"/>
            </w:tcBorders>
          </w:tcPr>
          <w:p w:rsidR="00771E96" w:rsidRPr="00B215BC" w:rsidRDefault="00771E96" w:rsidP="00771E96">
            <w:pPr>
              <w:pStyle w:val="a3"/>
              <w:jc w:val="left"/>
              <w:rPr>
                <w:rFonts w:ascii="ＭＳ Ｐ明朝" w:eastAsia="ＭＳ Ｐ明朝" w:hAnsi="ＭＳ Ｐ明朝"/>
                <w:szCs w:val="21"/>
              </w:rPr>
            </w:pPr>
            <w:r w:rsidRPr="00B215BC">
              <w:rPr>
                <w:rFonts w:ascii="ＭＳ Ｐ明朝" w:eastAsia="ＭＳ Ｐ明朝" w:hAnsi="ＭＳ Ｐ明朝"/>
                <w:szCs w:val="21"/>
              </w:rPr>
              <w:t>1.実験的ウサギ緑膿菌角膜感染モデルに対する効果</w:t>
            </w:r>
          </w:p>
          <w:p w:rsidR="00771E96" w:rsidRPr="00B215BC" w:rsidRDefault="00771E96" w:rsidP="00771E96">
            <w:pPr>
              <w:pStyle w:val="a3"/>
              <w:ind w:left="184"/>
              <w:rPr>
                <w:rFonts w:ascii="ＭＳ Ｐ明朝" w:eastAsia="ＭＳ Ｐ明朝" w:hAnsi="ＭＳ Ｐ明朝"/>
                <w:szCs w:val="21"/>
              </w:rPr>
            </w:pPr>
            <w:r w:rsidRPr="00B215BC">
              <w:rPr>
                <w:rFonts w:ascii="ＭＳ Ｐ明朝" w:eastAsia="ＭＳ Ｐ明朝" w:hAnsi="ＭＳ Ｐ明朝"/>
                <w:szCs w:val="21"/>
              </w:rPr>
              <w:t>レボフロキサシン点眼液1.5%「TS」及び標準製</w:t>
            </w:r>
            <w:r w:rsidRPr="00B215BC">
              <w:rPr>
                <w:rFonts w:ascii="ＭＳ Ｐ明朝" w:eastAsia="ＭＳ Ｐ明朝" w:hAnsi="ＭＳ Ｐ明朝" w:hint="eastAsia"/>
                <w:szCs w:val="21"/>
              </w:rPr>
              <w:t>剤（</w:t>
            </w:r>
            <w:r w:rsidRPr="00B215BC">
              <w:rPr>
                <w:rFonts w:ascii="ＭＳ Ｐ明朝" w:eastAsia="ＭＳ Ｐ明朝" w:hAnsi="ＭＳ Ｐ明朝"/>
                <w:szCs w:val="21"/>
              </w:rPr>
              <w:t>点眼剤，1.5%</w:t>
            </w:r>
            <w:r w:rsidRPr="00B215BC">
              <w:rPr>
                <w:rFonts w:ascii="ＭＳ Ｐ明朝" w:eastAsia="ＭＳ Ｐ明朝" w:hAnsi="ＭＳ Ｐ明朝" w:hint="eastAsia"/>
                <w:szCs w:val="21"/>
              </w:rPr>
              <w:t>）の</w:t>
            </w:r>
            <w:r w:rsidRPr="00B215BC">
              <w:rPr>
                <w:rFonts w:ascii="ＭＳ Ｐ明朝" w:eastAsia="ＭＳ Ｐ明朝" w:hAnsi="ＭＳ Ｐ明朝"/>
                <w:szCs w:val="21"/>
              </w:rPr>
              <w:t>効果を感染部位の潰瘍の程度を肉眼的に観察しスコア化することにより、比較検討した。両製剤は優れた治療効果を示し、両製剤間の治療効果に有意差は認められず、生物学的同等性が確認された。</w:t>
            </w:r>
          </w:p>
          <w:p w:rsidR="00771E96" w:rsidRPr="00B215BC" w:rsidRDefault="00771E96" w:rsidP="00771E96">
            <w:pPr>
              <w:pStyle w:val="a3"/>
              <w:tabs>
                <w:tab w:val="clear" w:pos="4252"/>
              </w:tabs>
              <w:ind w:leftChars="1775" w:left="3728"/>
              <w:jc w:val="left"/>
              <w:rPr>
                <w:rFonts w:ascii="MS UI Gothic" w:eastAsia="MS UI Gothic" w:hAnsi="MS UI Gothic"/>
                <w:sz w:val="20"/>
                <w:szCs w:val="20"/>
              </w:rPr>
            </w:pPr>
            <w:r w:rsidRPr="00B215BC">
              <w:rPr>
                <w:rFonts w:ascii="MS UI Gothic" w:eastAsia="MS UI Gothic" w:hAnsi="MS UI Gothic"/>
                <w:sz w:val="20"/>
                <w:szCs w:val="20"/>
              </w:rPr>
              <w:t>角膜混濁スコア推移</w:t>
            </w:r>
          </w:p>
          <w:p w:rsidR="00771E96" w:rsidRDefault="00771E96" w:rsidP="00771E96">
            <w:pPr>
              <w:pStyle w:val="a3"/>
              <w:ind w:left="184" w:firstLineChars="100" w:firstLine="210"/>
              <w:jc w:val="center"/>
              <w:rPr>
                <w:rFonts w:ascii="ＭＳ Ｐ明朝" w:eastAsia="ＭＳ Ｐ明朝" w:hAnsi="ＭＳ Ｐ明朝"/>
                <w:szCs w:val="21"/>
              </w:rPr>
            </w:pPr>
            <w:r>
              <w:rPr>
                <w:noProof/>
              </w:rPr>
              <w:drawing>
                <wp:inline distT="0" distB="0" distL="0" distR="0" wp14:anchorId="681AEFA6" wp14:editId="6C68B05C">
                  <wp:extent cx="3253120" cy="2105774"/>
                  <wp:effectExtent l="0" t="0" r="4445" b="889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1E96" w:rsidRPr="00B215BC" w:rsidRDefault="00771E96" w:rsidP="00771E96">
            <w:pPr>
              <w:pStyle w:val="a3"/>
              <w:rPr>
                <w:rFonts w:ascii="ＭＳ Ｐ明朝" w:eastAsia="ＭＳ Ｐ明朝" w:hAnsi="ＭＳ Ｐ明朝"/>
                <w:szCs w:val="21"/>
              </w:rPr>
            </w:pPr>
            <w:r w:rsidRPr="00B215BC">
              <w:rPr>
                <w:rFonts w:ascii="ＭＳ Ｐ明朝" w:eastAsia="ＭＳ Ｐ明朝" w:hAnsi="ＭＳ Ｐ明朝"/>
                <w:szCs w:val="21"/>
              </w:rPr>
              <w:t>2.眼組織中濃度</w:t>
            </w:r>
          </w:p>
          <w:p w:rsidR="00771E96" w:rsidRPr="00B215BC" w:rsidRDefault="00771E96" w:rsidP="00771E96">
            <w:pPr>
              <w:pStyle w:val="a3"/>
              <w:ind w:left="184"/>
              <w:jc w:val="left"/>
              <w:rPr>
                <w:rFonts w:ascii="ＭＳ Ｐ明朝" w:eastAsia="ＭＳ Ｐ明朝" w:hAnsi="ＭＳ Ｐ明朝"/>
                <w:szCs w:val="21"/>
                <w:shd w:val="pct15" w:color="auto" w:fill="FFFFFF"/>
              </w:rPr>
            </w:pPr>
            <w:r w:rsidRPr="00B215BC">
              <w:rPr>
                <w:rFonts w:ascii="ＭＳ Ｐ明朝" w:eastAsia="ＭＳ Ｐ明朝" w:hAnsi="ＭＳ Ｐ明朝"/>
                <w:szCs w:val="21"/>
              </w:rPr>
              <w:t>ウサギにレボフロキサシン点眼液1.5%「TS」あるいは標準製</w:t>
            </w:r>
            <w:r w:rsidRPr="00B215BC">
              <w:rPr>
                <w:rFonts w:ascii="ＭＳ Ｐ明朝" w:eastAsia="ＭＳ Ｐ明朝" w:hAnsi="ＭＳ Ｐ明朝" w:hint="eastAsia"/>
                <w:szCs w:val="21"/>
              </w:rPr>
              <w:t>剤（点</w:t>
            </w:r>
            <w:r w:rsidRPr="00B215BC">
              <w:rPr>
                <w:rFonts w:ascii="ＭＳ Ｐ明朝" w:eastAsia="ＭＳ Ｐ明朝" w:hAnsi="ＭＳ Ｐ明朝"/>
                <w:szCs w:val="21"/>
              </w:rPr>
              <w:t>眼剤，1.5%</w:t>
            </w:r>
            <w:r w:rsidRPr="00B215BC">
              <w:rPr>
                <w:rFonts w:ascii="ＭＳ Ｐ明朝" w:eastAsia="ＭＳ Ｐ明朝" w:hAnsi="ＭＳ Ｐ明朝" w:hint="eastAsia"/>
                <w:szCs w:val="21"/>
              </w:rPr>
              <w:t>）</w:t>
            </w:r>
            <w:r w:rsidRPr="00B215BC">
              <w:rPr>
                <w:rFonts w:ascii="ＭＳ Ｐ明朝" w:eastAsia="ＭＳ Ｐ明朝" w:hAnsi="ＭＳ Ｐ明朝"/>
                <w:szCs w:val="21"/>
              </w:rPr>
              <w:t>を点眼し、15分後の角膜中レボフロキサシン濃度、60分後の房水中レボフロキサシン濃度を測定することによって両製剤の薬物移行性を比較検討した。統計解析を行った結果、両製剤間の房水及び角膜中レボフロキサシン濃度に有意差は認められず、生物学的同等性が確認された。</w:t>
            </w:r>
          </w:p>
        </w:tc>
      </w:tr>
      <w:tr w:rsidR="00771E96" w:rsidRPr="00EC59F5" w:rsidTr="00531D4B">
        <w:trPr>
          <w:cantSplit/>
          <w:trHeight w:val="416"/>
        </w:trPr>
        <w:tc>
          <w:tcPr>
            <w:tcW w:w="1276" w:type="dxa"/>
            <w:tcBorders>
              <w:top w:val="single" w:sz="4" w:space="0" w:color="auto"/>
              <w:left w:val="single" w:sz="12" w:space="0" w:color="auto"/>
              <w:bottom w:val="single" w:sz="12" w:space="0" w:color="auto"/>
              <w:right w:val="double" w:sz="4" w:space="0" w:color="auto"/>
            </w:tcBorders>
            <w:vAlign w:val="center"/>
          </w:tcPr>
          <w:p w:rsidR="00771E96" w:rsidRPr="00E404F4" w:rsidRDefault="00771E96" w:rsidP="00771E96">
            <w:pPr>
              <w:jc w:val="center"/>
              <w:rPr>
                <w:rFonts w:ascii="MS UI Gothic" w:eastAsia="MS UI Gothic" w:hAnsi="MS UI Gothic"/>
              </w:rPr>
            </w:pPr>
            <w:r w:rsidRPr="00E404F4">
              <w:rPr>
                <w:rFonts w:ascii="MS UI Gothic" w:eastAsia="MS UI Gothic" w:hAnsi="MS UI Gothic" w:hint="eastAsia"/>
              </w:rPr>
              <w:t>備考</w:t>
            </w:r>
          </w:p>
        </w:tc>
        <w:tc>
          <w:tcPr>
            <w:tcW w:w="8647" w:type="dxa"/>
            <w:gridSpan w:val="4"/>
            <w:tcBorders>
              <w:top w:val="single" w:sz="4" w:space="0" w:color="auto"/>
              <w:left w:val="double" w:sz="4" w:space="0" w:color="auto"/>
              <w:bottom w:val="single" w:sz="12" w:space="0" w:color="auto"/>
              <w:right w:val="single" w:sz="12" w:space="0" w:color="auto"/>
            </w:tcBorders>
          </w:tcPr>
          <w:p w:rsidR="00771E96" w:rsidRDefault="00771E96" w:rsidP="00771E96">
            <w:pPr>
              <w:snapToGrid w:val="0"/>
              <w:jc w:val="right"/>
              <w:rPr>
                <w:shd w:val="pct15" w:color="auto" w:fill="FFFFFF"/>
              </w:rPr>
            </w:pPr>
          </w:p>
          <w:p w:rsidR="00771E96" w:rsidRPr="00EC59F5" w:rsidRDefault="00771E96" w:rsidP="00771E96">
            <w:pPr>
              <w:snapToGrid w:val="0"/>
              <w:jc w:val="right"/>
              <w:rPr>
                <w:shd w:val="pct15" w:color="auto" w:fill="FFFFFF"/>
              </w:rPr>
            </w:pPr>
          </w:p>
        </w:tc>
      </w:tr>
    </w:tbl>
    <w:p w:rsidR="0022655D" w:rsidRPr="00EC59F5" w:rsidRDefault="0022655D">
      <w:pPr>
        <w:pStyle w:val="a3"/>
        <w:tabs>
          <w:tab w:val="clear" w:pos="4252"/>
          <w:tab w:val="clear" w:pos="8504"/>
        </w:tabs>
        <w:spacing w:line="120" w:lineRule="auto"/>
        <w:rPr>
          <w:shd w:val="pct15" w:color="auto" w:fill="FFFFFF"/>
        </w:rPr>
      </w:pPr>
    </w:p>
    <w:sectPr w:rsidR="0022655D" w:rsidRPr="00EC59F5" w:rsidSect="00DB5EB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68" w:rsidRDefault="00045168">
      <w:r>
        <w:separator/>
      </w:r>
    </w:p>
  </w:endnote>
  <w:endnote w:type="continuationSeparator" w:id="0">
    <w:p w:rsidR="00045168" w:rsidRDefault="0004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68" w:rsidRDefault="00045168">
      <w:r>
        <w:separator/>
      </w:r>
    </w:p>
  </w:footnote>
  <w:footnote w:type="continuationSeparator" w:id="0">
    <w:p w:rsidR="00045168" w:rsidRDefault="00045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112F"/>
    <w:multiLevelType w:val="hybridMultilevel"/>
    <w:tmpl w:val="F5A68570"/>
    <w:lvl w:ilvl="0" w:tplc="B2168E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80390F"/>
    <w:multiLevelType w:val="hybridMultilevel"/>
    <w:tmpl w:val="4B127B94"/>
    <w:lvl w:ilvl="0" w:tplc="9A147ED8">
      <w:start w:val="1"/>
      <w:numFmt w:val="decimalEnclosedCircle"/>
      <w:lvlText w:val="%1"/>
      <w:lvlJc w:val="left"/>
      <w:pPr>
        <w:ind w:left="446" w:hanging="360"/>
      </w:pPr>
      <w:rPr>
        <w:rFonts w:hint="default"/>
        <w:sz w:val="20"/>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2" w15:restartNumberingAfterBreak="0">
    <w:nsid w:val="5761624C"/>
    <w:multiLevelType w:val="hybridMultilevel"/>
    <w:tmpl w:val="4A003D8E"/>
    <w:lvl w:ilvl="0" w:tplc="10C6C77A">
      <w:start w:val="1"/>
      <w:numFmt w:val="decimalEnclosedCircle"/>
      <w:lvlText w:val="%1"/>
      <w:lvlJc w:val="left"/>
      <w:pPr>
        <w:ind w:left="403" w:hanging="360"/>
      </w:pPr>
      <w:rPr>
        <w:rFonts w:hint="default"/>
        <w:sz w:val="20"/>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3" w15:restartNumberingAfterBreak="0">
    <w:nsid w:val="77F0155A"/>
    <w:multiLevelType w:val="hybridMultilevel"/>
    <w:tmpl w:val="F40E8166"/>
    <w:lvl w:ilvl="0" w:tplc="91E233E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0105D"/>
    <w:multiLevelType w:val="hybridMultilevel"/>
    <w:tmpl w:val="A8B48504"/>
    <w:lvl w:ilvl="0" w:tplc="9A147ED8">
      <w:start w:val="1"/>
      <w:numFmt w:val="decimalEnclosedCircle"/>
      <w:lvlText w:val="%1"/>
      <w:lvlJc w:val="left"/>
      <w:pPr>
        <w:ind w:left="403" w:hanging="360"/>
      </w:pPr>
      <w:rPr>
        <w:rFonts w:hint="default"/>
        <w:sz w:val="20"/>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0C0"/>
    <w:rsid w:val="0001022F"/>
    <w:rsid w:val="00033688"/>
    <w:rsid w:val="00043E63"/>
    <w:rsid w:val="00045168"/>
    <w:rsid w:val="00093E8D"/>
    <w:rsid w:val="000A3A5B"/>
    <w:rsid w:val="000C09F7"/>
    <w:rsid w:val="00102CB9"/>
    <w:rsid w:val="0012092E"/>
    <w:rsid w:val="001444F0"/>
    <w:rsid w:val="00154E6B"/>
    <w:rsid w:val="001D1358"/>
    <w:rsid w:val="001E1266"/>
    <w:rsid w:val="001F79C2"/>
    <w:rsid w:val="0022655D"/>
    <w:rsid w:val="0023181C"/>
    <w:rsid w:val="00255A62"/>
    <w:rsid w:val="002824C6"/>
    <w:rsid w:val="00286C88"/>
    <w:rsid w:val="002B142A"/>
    <w:rsid w:val="002D476F"/>
    <w:rsid w:val="002E10C0"/>
    <w:rsid w:val="003159A8"/>
    <w:rsid w:val="003B771C"/>
    <w:rsid w:val="003F5BC7"/>
    <w:rsid w:val="0044660B"/>
    <w:rsid w:val="00450C02"/>
    <w:rsid w:val="00484EDE"/>
    <w:rsid w:val="00490B08"/>
    <w:rsid w:val="00513ADD"/>
    <w:rsid w:val="00525870"/>
    <w:rsid w:val="00531D4B"/>
    <w:rsid w:val="00555C09"/>
    <w:rsid w:val="005920AC"/>
    <w:rsid w:val="005E6377"/>
    <w:rsid w:val="00635ACA"/>
    <w:rsid w:val="00656CAF"/>
    <w:rsid w:val="00677514"/>
    <w:rsid w:val="006834BE"/>
    <w:rsid w:val="006A0F5B"/>
    <w:rsid w:val="006A3FC4"/>
    <w:rsid w:val="006B4C74"/>
    <w:rsid w:val="006F51ED"/>
    <w:rsid w:val="00722702"/>
    <w:rsid w:val="00734EC3"/>
    <w:rsid w:val="00771E96"/>
    <w:rsid w:val="007B59B5"/>
    <w:rsid w:val="007C245E"/>
    <w:rsid w:val="007D4EAA"/>
    <w:rsid w:val="007E2E5A"/>
    <w:rsid w:val="007E493F"/>
    <w:rsid w:val="008019DE"/>
    <w:rsid w:val="008035D9"/>
    <w:rsid w:val="00804D79"/>
    <w:rsid w:val="0080649C"/>
    <w:rsid w:val="00806F62"/>
    <w:rsid w:val="0082198F"/>
    <w:rsid w:val="00821E1C"/>
    <w:rsid w:val="008224FC"/>
    <w:rsid w:val="00831C3B"/>
    <w:rsid w:val="008518AD"/>
    <w:rsid w:val="0088282D"/>
    <w:rsid w:val="00914905"/>
    <w:rsid w:val="00990C21"/>
    <w:rsid w:val="009A1D5D"/>
    <w:rsid w:val="009B6DF9"/>
    <w:rsid w:val="009C1E49"/>
    <w:rsid w:val="00A176FD"/>
    <w:rsid w:val="00A46503"/>
    <w:rsid w:val="00A70339"/>
    <w:rsid w:val="00AD2148"/>
    <w:rsid w:val="00AE62E9"/>
    <w:rsid w:val="00AF5AB3"/>
    <w:rsid w:val="00B14C72"/>
    <w:rsid w:val="00B17680"/>
    <w:rsid w:val="00B215BC"/>
    <w:rsid w:val="00B3094C"/>
    <w:rsid w:val="00B318E7"/>
    <w:rsid w:val="00B47142"/>
    <w:rsid w:val="00B92E59"/>
    <w:rsid w:val="00BA0D85"/>
    <w:rsid w:val="00C53DD8"/>
    <w:rsid w:val="00C60397"/>
    <w:rsid w:val="00CC5315"/>
    <w:rsid w:val="00CE0D8E"/>
    <w:rsid w:val="00CF3C87"/>
    <w:rsid w:val="00D12111"/>
    <w:rsid w:val="00D64E9D"/>
    <w:rsid w:val="00D87C24"/>
    <w:rsid w:val="00DA5A6E"/>
    <w:rsid w:val="00DB123B"/>
    <w:rsid w:val="00DB5EB9"/>
    <w:rsid w:val="00E146D3"/>
    <w:rsid w:val="00E370A5"/>
    <w:rsid w:val="00E404F4"/>
    <w:rsid w:val="00E41B9F"/>
    <w:rsid w:val="00E42C7F"/>
    <w:rsid w:val="00E756D9"/>
    <w:rsid w:val="00E902B0"/>
    <w:rsid w:val="00EC59F5"/>
    <w:rsid w:val="00EE17E5"/>
    <w:rsid w:val="00EF535F"/>
    <w:rsid w:val="00EF6BB9"/>
    <w:rsid w:val="00F069AB"/>
    <w:rsid w:val="00FA484A"/>
    <w:rsid w:val="00FB6796"/>
    <w:rsid w:val="00FC0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5:docId w15:val="{0998FFCF-7416-47ED-BF20-4B05B7E1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B9"/>
    <w:pPr>
      <w:widowControl w:val="0"/>
      <w:jc w:val="both"/>
    </w:pPr>
    <w:rPr>
      <w:kern w:val="2"/>
      <w:sz w:val="21"/>
      <w:szCs w:val="24"/>
    </w:rPr>
  </w:style>
  <w:style w:type="paragraph" w:styleId="4">
    <w:name w:val="heading 4"/>
    <w:basedOn w:val="a"/>
    <w:qFormat/>
    <w:rsid w:val="00DB5EB9"/>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5EB9"/>
    <w:pPr>
      <w:tabs>
        <w:tab w:val="center" w:pos="4252"/>
        <w:tab w:val="right" w:pos="8504"/>
      </w:tabs>
      <w:snapToGrid w:val="0"/>
    </w:pPr>
  </w:style>
  <w:style w:type="paragraph" w:styleId="a4">
    <w:name w:val="footer"/>
    <w:basedOn w:val="a"/>
    <w:rsid w:val="00DB5EB9"/>
    <w:pPr>
      <w:tabs>
        <w:tab w:val="center" w:pos="4252"/>
        <w:tab w:val="right" w:pos="8504"/>
      </w:tabs>
      <w:snapToGrid w:val="0"/>
    </w:pPr>
  </w:style>
  <w:style w:type="paragraph" w:styleId="a5">
    <w:name w:val="Body Text"/>
    <w:basedOn w:val="a"/>
    <w:rsid w:val="00DB5EB9"/>
    <w:pPr>
      <w:spacing w:line="360" w:lineRule="exact"/>
    </w:pPr>
    <w:rPr>
      <w:sz w:val="22"/>
    </w:rPr>
  </w:style>
  <w:style w:type="paragraph" w:styleId="2">
    <w:name w:val="Body Text 2"/>
    <w:basedOn w:val="a"/>
    <w:rsid w:val="00DB5EB9"/>
    <w:pPr>
      <w:ind w:rightChars="218" w:right="458"/>
    </w:pPr>
    <w:rPr>
      <w:rFonts w:ascii="ＭＳ 明朝" w:hAnsi="ＭＳ 明朝"/>
    </w:rPr>
  </w:style>
  <w:style w:type="paragraph" w:styleId="a6">
    <w:name w:val="Body Text Indent"/>
    <w:basedOn w:val="a"/>
    <w:rsid w:val="00DB5EB9"/>
    <w:pPr>
      <w:snapToGrid w:val="0"/>
      <w:ind w:left="250" w:hangingChars="119" w:hanging="250"/>
    </w:pPr>
    <w:rPr>
      <w:rFonts w:ascii="ＭＳ Ｐ明朝" w:eastAsia="ＭＳ Ｐ明朝" w:hAnsi="ＭＳ Ｐ明朝"/>
    </w:rPr>
  </w:style>
  <w:style w:type="paragraph" w:styleId="20">
    <w:name w:val="Body Text Indent 2"/>
    <w:basedOn w:val="a"/>
    <w:rsid w:val="00DB5EB9"/>
    <w:pPr>
      <w:snapToGrid w:val="0"/>
      <w:ind w:leftChars="52" w:left="319" w:hangingChars="100" w:hanging="210"/>
    </w:pPr>
    <w:rPr>
      <w:rFonts w:ascii="ＭＳ Ｐ明朝" w:eastAsia="ＭＳ Ｐ明朝" w:hAnsi="ＭＳ Ｐ明朝"/>
    </w:rPr>
  </w:style>
  <w:style w:type="paragraph" w:styleId="a7">
    <w:name w:val="Balloon Text"/>
    <w:basedOn w:val="a"/>
    <w:link w:val="a8"/>
    <w:rsid w:val="002824C6"/>
    <w:rPr>
      <w:rFonts w:asciiTheme="majorHAnsi" w:eastAsiaTheme="majorEastAsia" w:hAnsiTheme="majorHAnsi" w:cstheme="majorBidi"/>
      <w:sz w:val="18"/>
      <w:szCs w:val="18"/>
    </w:rPr>
  </w:style>
  <w:style w:type="character" w:customStyle="1" w:styleId="a8">
    <w:name w:val="吹き出し (文字)"/>
    <w:basedOn w:val="a0"/>
    <w:link w:val="a7"/>
    <w:rsid w:val="002824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70011569923611"/>
          <c:y val="3.3692472439267485E-2"/>
          <c:w val="0.83776937285601194"/>
          <c:h val="0.67457571420294871"/>
        </c:manualLayout>
      </c:layout>
      <c:scatterChart>
        <c:scatterStyle val="lineMarker"/>
        <c:varyColors val="0"/>
        <c:ser>
          <c:idx val="0"/>
          <c:order val="0"/>
          <c:tx>
            <c:strRef>
              <c:f>'LVFX1.5%'!$C$7</c:f>
              <c:strCache>
                <c:ptCount val="1"/>
                <c:pt idx="0">
                  <c:v>レボフロキサシン点眼液1.5%「TS」</c:v>
                </c:pt>
              </c:strCache>
            </c:strRef>
          </c:tx>
          <c:spPr>
            <a:ln w="12700">
              <a:solidFill>
                <a:srgbClr val="0070C0"/>
              </a:solidFill>
            </a:ln>
          </c:spPr>
          <c:marker>
            <c:symbol val="circle"/>
            <c:size val="6"/>
            <c:spPr>
              <a:gradFill flip="none" rotWithShape="1">
                <a:gsLst>
                  <a:gs pos="0">
                    <a:sysClr val="window" lastClr="FFFFFF"/>
                  </a:gs>
                  <a:gs pos="50000">
                    <a:srgbClr val="0070C0"/>
                  </a:gs>
                  <a:gs pos="100000">
                    <a:srgbClr val="0070C0"/>
                  </a:gs>
                </a:gsLst>
                <a:path path="circle">
                  <a:fillToRect l="50000" t="50000" r="50000" b="50000"/>
                </a:path>
                <a:tileRect/>
              </a:gradFill>
              <a:ln w="12700">
                <a:solidFill>
                  <a:srgbClr val="0070C0"/>
                </a:solidFill>
                <a:prstDash val="solid"/>
              </a:ln>
            </c:spPr>
          </c:marker>
          <c:errBars>
            <c:errDir val="y"/>
            <c:errBarType val="both"/>
            <c:errValType val="cust"/>
            <c:noEndCap val="0"/>
            <c:plus>
              <c:numRef>
                <c:f>'LVFX1.5%'!$D$13:$L$13</c:f>
                <c:numCache>
                  <c:formatCode>General</c:formatCode>
                  <c:ptCount val="9"/>
                  <c:pt idx="0">
                    <c:v>0</c:v>
                  </c:pt>
                  <c:pt idx="1">
                    <c:v>0.3</c:v>
                  </c:pt>
                  <c:pt idx="2">
                    <c:v>0.5</c:v>
                  </c:pt>
                  <c:pt idx="3">
                    <c:v>0.4</c:v>
                  </c:pt>
                  <c:pt idx="4">
                    <c:v>0.5</c:v>
                  </c:pt>
                  <c:pt idx="5">
                    <c:v>0.5</c:v>
                  </c:pt>
                  <c:pt idx="6">
                    <c:v>0.5</c:v>
                  </c:pt>
                  <c:pt idx="7">
                    <c:v>0.4</c:v>
                  </c:pt>
                  <c:pt idx="8">
                    <c:v>0</c:v>
                  </c:pt>
                </c:numCache>
              </c:numRef>
            </c:plus>
            <c:minus>
              <c:numRef>
                <c:f>'LVFX1.5%'!$D$13:$L$13</c:f>
                <c:numCache>
                  <c:formatCode>General</c:formatCode>
                  <c:ptCount val="9"/>
                  <c:pt idx="0">
                    <c:v>0</c:v>
                  </c:pt>
                  <c:pt idx="1">
                    <c:v>0.3</c:v>
                  </c:pt>
                  <c:pt idx="2">
                    <c:v>0.5</c:v>
                  </c:pt>
                  <c:pt idx="3">
                    <c:v>0.4</c:v>
                  </c:pt>
                  <c:pt idx="4">
                    <c:v>0.5</c:v>
                  </c:pt>
                  <c:pt idx="5">
                    <c:v>0.5</c:v>
                  </c:pt>
                  <c:pt idx="6">
                    <c:v>0.5</c:v>
                  </c:pt>
                  <c:pt idx="7">
                    <c:v>0.4</c:v>
                  </c:pt>
                  <c:pt idx="8">
                    <c:v>0</c:v>
                  </c:pt>
                </c:numCache>
              </c:numRef>
            </c:minus>
            <c:spPr>
              <a:ln w="12700">
                <a:solidFill>
                  <a:srgbClr val="0070C0"/>
                </a:solidFill>
              </a:ln>
            </c:spPr>
          </c:errBars>
          <c:xVal>
            <c:numRef>
              <c:f>'LVFX1.5%'!$D$6:$L$6</c:f>
              <c:numCache>
                <c:formatCode>General</c:formatCode>
                <c:ptCount val="9"/>
                <c:pt idx="0">
                  <c:v>0</c:v>
                </c:pt>
                <c:pt idx="1">
                  <c:v>0.5</c:v>
                </c:pt>
                <c:pt idx="2">
                  <c:v>1</c:v>
                </c:pt>
                <c:pt idx="3">
                  <c:v>2</c:v>
                </c:pt>
                <c:pt idx="4">
                  <c:v>3</c:v>
                </c:pt>
                <c:pt idx="5">
                  <c:v>4</c:v>
                </c:pt>
                <c:pt idx="6">
                  <c:v>5</c:v>
                </c:pt>
                <c:pt idx="7">
                  <c:v>6</c:v>
                </c:pt>
                <c:pt idx="8">
                  <c:v>7</c:v>
                </c:pt>
              </c:numCache>
            </c:numRef>
          </c:xVal>
          <c:yVal>
            <c:numRef>
              <c:f>'LVFX1.5%'!$D$7:$L$7</c:f>
              <c:numCache>
                <c:formatCode>General</c:formatCode>
                <c:ptCount val="9"/>
                <c:pt idx="0">
                  <c:v>0</c:v>
                </c:pt>
                <c:pt idx="1">
                  <c:v>0.8</c:v>
                </c:pt>
                <c:pt idx="2" formatCode="0.0_ ">
                  <c:v>0.8</c:v>
                </c:pt>
                <c:pt idx="3" formatCode="0.0_ ">
                  <c:v>0.6</c:v>
                </c:pt>
                <c:pt idx="4" formatCode="0.0_ ">
                  <c:v>0.4</c:v>
                </c:pt>
                <c:pt idx="5" formatCode="0.0_ ">
                  <c:v>0.4</c:v>
                </c:pt>
                <c:pt idx="6" formatCode="0.0_ ">
                  <c:v>0.3</c:v>
                </c:pt>
                <c:pt idx="7" formatCode="0.0_ ">
                  <c:v>0.2</c:v>
                </c:pt>
                <c:pt idx="8" formatCode="0.0_ ">
                  <c:v>0</c:v>
                </c:pt>
              </c:numCache>
            </c:numRef>
          </c:yVal>
          <c:smooth val="0"/>
          <c:extLst>
            <c:ext xmlns:c16="http://schemas.microsoft.com/office/drawing/2014/chart" uri="{C3380CC4-5D6E-409C-BE32-E72D297353CC}">
              <c16:uniqueId val="{00000000-4DD6-4378-8323-1063E5EE1D1C}"/>
            </c:ext>
          </c:extLst>
        </c:ser>
        <c:ser>
          <c:idx val="1"/>
          <c:order val="1"/>
          <c:tx>
            <c:strRef>
              <c:f>'LVFX1.5%'!$C$8</c:f>
              <c:strCache>
                <c:ptCount val="1"/>
                <c:pt idx="0">
                  <c:v>標準製剤(点眼剤,1.5%)</c:v>
                </c:pt>
              </c:strCache>
            </c:strRef>
          </c:tx>
          <c:spPr>
            <a:ln w="12700">
              <a:solidFill>
                <a:srgbClr val="000000"/>
              </a:solidFill>
            </a:ln>
          </c:spPr>
          <c:marker>
            <c:symbol val="circle"/>
            <c:size val="6"/>
            <c:spPr>
              <a:gradFill flip="none" rotWithShape="1">
                <a:gsLst>
                  <a:gs pos="0">
                    <a:sysClr val="window" lastClr="FFFFFF"/>
                  </a:gs>
                  <a:gs pos="50000">
                    <a:sysClr val="windowText" lastClr="000000"/>
                  </a:gs>
                  <a:gs pos="100000">
                    <a:schemeClr val="tx1"/>
                  </a:gs>
                </a:gsLst>
                <a:path path="circle">
                  <a:fillToRect l="50000" t="50000" r="50000" b="50000"/>
                </a:path>
                <a:tileRect/>
              </a:gradFill>
              <a:ln>
                <a:solidFill>
                  <a:srgbClr val="000000"/>
                </a:solidFill>
                <a:prstDash val="solid"/>
              </a:ln>
            </c:spPr>
          </c:marker>
          <c:errBars>
            <c:errDir val="y"/>
            <c:errBarType val="both"/>
            <c:errValType val="cust"/>
            <c:noEndCap val="0"/>
            <c:plus>
              <c:numRef>
                <c:f>'LVFX1.5%'!$D$14:$L$14</c:f>
                <c:numCache>
                  <c:formatCode>General</c:formatCode>
                  <c:ptCount val="9"/>
                  <c:pt idx="0">
                    <c:v>0</c:v>
                  </c:pt>
                  <c:pt idx="1">
                    <c:v>0.3</c:v>
                  </c:pt>
                  <c:pt idx="2">
                    <c:v>0.5</c:v>
                  </c:pt>
                  <c:pt idx="3">
                    <c:v>0.4</c:v>
                  </c:pt>
                  <c:pt idx="4">
                    <c:v>0.3</c:v>
                  </c:pt>
                  <c:pt idx="5">
                    <c:v>0.2</c:v>
                  </c:pt>
                  <c:pt idx="6">
                    <c:v>0.2</c:v>
                  </c:pt>
                  <c:pt idx="7">
                    <c:v>0.2</c:v>
                  </c:pt>
                  <c:pt idx="8">
                    <c:v>0</c:v>
                  </c:pt>
                </c:numCache>
              </c:numRef>
            </c:plus>
            <c:minus>
              <c:numRef>
                <c:f>'LVFX1.5%'!$D$14:$L$14</c:f>
                <c:numCache>
                  <c:formatCode>General</c:formatCode>
                  <c:ptCount val="9"/>
                  <c:pt idx="0">
                    <c:v>0</c:v>
                  </c:pt>
                  <c:pt idx="1">
                    <c:v>0.3</c:v>
                  </c:pt>
                  <c:pt idx="2">
                    <c:v>0.5</c:v>
                  </c:pt>
                  <c:pt idx="3">
                    <c:v>0.4</c:v>
                  </c:pt>
                  <c:pt idx="4">
                    <c:v>0.3</c:v>
                  </c:pt>
                  <c:pt idx="5">
                    <c:v>0.2</c:v>
                  </c:pt>
                  <c:pt idx="6">
                    <c:v>0.2</c:v>
                  </c:pt>
                  <c:pt idx="7">
                    <c:v>0.2</c:v>
                  </c:pt>
                  <c:pt idx="8">
                    <c:v>0</c:v>
                  </c:pt>
                </c:numCache>
              </c:numRef>
            </c:minus>
            <c:spPr>
              <a:ln w="12700">
                <a:solidFill>
                  <a:srgbClr val="000000"/>
                </a:solidFill>
                <a:prstDash val="solid"/>
              </a:ln>
            </c:spPr>
          </c:errBars>
          <c:xVal>
            <c:numRef>
              <c:f>'LVFX1.5%'!$D$6:$L$6</c:f>
              <c:numCache>
                <c:formatCode>General</c:formatCode>
                <c:ptCount val="9"/>
                <c:pt idx="0">
                  <c:v>0</c:v>
                </c:pt>
                <c:pt idx="1">
                  <c:v>0.5</c:v>
                </c:pt>
                <c:pt idx="2">
                  <c:v>1</c:v>
                </c:pt>
                <c:pt idx="3">
                  <c:v>2</c:v>
                </c:pt>
                <c:pt idx="4">
                  <c:v>3</c:v>
                </c:pt>
                <c:pt idx="5">
                  <c:v>4</c:v>
                </c:pt>
                <c:pt idx="6">
                  <c:v>5</c:v>
                </c:pt>
                <c:pt idx="7">
                  <c:v>6</c:v>
                </c:pt>
                <c:pt idx="8">
                  <c:v>7</c:v>
                </c:pt>
              </c:numCache>
            </c:numRef>
          </c:xVal>
          <c:yVal>
            <c:numRef>
              <c:f>'LVFX1.5%'!$D$8:$L$8</c:f>
              <c:numCache>
                <c:formatCode>General</c:formatCode>
                <c:ptCount val="9"/>
                <c:pt idx="0">
                  <c:v>0</c:v>
                </c:pt>
                <c:pt idx="1">
                  <c:v>0.8</c:v>
                </c:pt>
                <c:pt idx="2" formatCode="0.0_ ">
                  <c:v>0.9</c:v>
                </c:pt>
                <c:pt idx="3" formatCode="0.0_ ">
                  <c:v>0.5</c:v>
                </c:pt>
                <c:pt idx="4" formatCode="0.0_ ">
                  <c:v>0.3</c:v>
                </c:pt>
                <c:pt idx="5" formatCode="0.0_ ">
                  <c:v>0.2</c:v>
                </c:pt>
                <c:pt idx="6" formatCode="0.0_ ">
                  <c:v>0.1</c:v>
                </c:pt>
                <c:pt idx="7" formatCode="0.0_ ">
                  <c:v>0.1</c:v>
                </c:pt>
                <c:pt idx="8" formatCode="0.0_ ">
                  <c:v>0</c:v>
                </c:pt>
              </c:numCache>
            </c:numRef>
          </c:yVal>
          <c:smooth val="0"/>
          <c:extLst>
            <c:ext xmlns:c16="http://schemas.microsoft.com/office/drawing/2014/chart" uri="{C3380CC4-5D6E-409C-BE32-E72D297353CC}">
              <c16:uniqueId val="{00000001-4DD6-4378-8323-1063E5EE1D1C}"/>
            </c:ext>
          </c:extLst>
        </c:ser>
        <c:ser>
          <c:idx val="2"/>
          <c:order val="2"/>
          <c:tx>
            <c:strRef>
              <c:f>'LVFX1.5%'!$C$9</c:f>
              <c:strCache>
                <c:ptCount val="1"/>
                <c:pt idx="0">
                  <c:v>対照(生理食塩液)</c:v>
                </c:pt>
              </c:strCache>
            </c:strRef>
          </c:tx>
          <c:spPr>
            <a:ln w="12700">
              <a:solidFill>
                <a:srgbClr val="000000"/>
              </a:solidFill>
              <a:prstDash val="solid"/>
            </a:ln>
          </c:spPr>
          <c:marker>
            <c:symbol val="circle"/>
            <c:size val="6"/>
            <c:spPr>
              <a:solidFill>
                <a:srgbClr val="FFFFFF"/>
              </a:solidFill>
              <a:ln w="12700">
                <a:solidFill>
                  <a:srgbClr val="000000"/>
                </a:solidFill>
                <a:prstDash val="solid"/>
              </a:ln>
            </c:spPr>
          </c:marker>
          <c:errBars>
            <c:errDir val="y"/>
            <c:errBarType val="both"/>
            <c:errValType val="cust"/>
            <c:noEndCap val="0"/>
            <c:plus>
              <c:numRef>
                <c:f>'LVFX1.5%'!$D$15:$L$15</c:f>
                <c:numCache>
                  <c:formatCode>General</c:formatCode>
                  <c:ptCount val="9"/>
                  <c:pt idx="0">
                    <c:v>0</c:v>
                  </c:pt>
                  <c:pt idx="1">
                    <c:v>0.3</c:v>
                  </c:pt>
                  <c:pt idx="2">
                    <c:v>0.8</c:v>
                  </c:pt>
                  <c:pt idx="3">
                    <c:v>0.3</c:v>
                  </c:pt>
                  <c:pt idx="4">
                    <c:v>0</c:v>
                  </c:pt>
                  <c:pt idx="5">
                    <c:v>0</c:v>
                  </c:pt>
                  <c:pt idx="6">
                    <c:v>0</c:v>
                  </c:pt>
                  <c:pt idx="7">
                    <c:v>0</c:v>
                  </c:pt>
                  <c:pt idx="8">
                    <c:v>0</c:v>
                  </c:pt>
                </c:numCache>
              </c:numRef>
            </c:plus>
            <c:minus>
              <c:numRef>
                <c:f>'LVFX1.5%'!$D$15:$L$15</c:f>
                <c:numCache>
                  <c:formatCode>General</c:formatCode>
                  <c:ptCount val="9"/>
                  <c:pt idx="0">
                    <c:v>0</c:v>
                  </c:pt>
                  <c:pt idx="1">
                    <c:v>0.3</c:v>
                  </c:pt>
                  <c:pt idx="2">
                    <c:v>0.8</c:v>
                  </c:pt>
                  <c:pt idx="3">
                    <c:v>0.3</c:v>
                  </c:pt>
                  <c:pt idx="4">
                    <c:v>0</c:v>
                  </c:pt>
                  <c:pt idx="5">
                    <c:v>0</c:v>
                  </c:pt>
                  <c:pt idx="6">
                    <c:v>0</c:v>
                  </c:pt>
                  <c:pt idx="7">
                    <c:v>0</c:v>
                  </c:pt>
                  <c:pt idx="8">
                    <c:v>0</c:v>
                  </c:pt>
                </c:numCache>
              </c:numRef>
            </c:minus>
            <c:spPr>
              <a:ln w="12700">
                <a:solidFill>
                  <a:srgbClr val="000000"/>
                </a:solidFill>
                <a:prstDash val="solid"/>
              </a:ln>
            </c:spPr>
          </c:errBars>
          <c:xVal>
            <c:numRef>
              <c:f>'LVFX1.5%'!$D$6:$L$6</c:f>
              <c:numCache>
                <c:formatCode>General</c:formatCode>
                <c:ptCount val="9"/>
                <c:pt idx="0">
                  <c:v>0</c:v>
                </c:pt>
                <c:pt idx="1">
                  <c:v>0.5</c:v>
                </c:pt>
                <c:pt idx="2">
                  <c:v>1</c:v>
                </c:pt>
                <c:pt idx="3">
                  <c:v>2</c:v>
                </c:pt>
                <c:pt idx="4">
                  <c:v>3</c:v>
                </c:pt>
                <c:pt idx="5">
                  <c:v>4</c:v>
                </c:pt>
                <c:pt idx="6">
                  <c:v>5</c:v>
                </c:pt>
                <c:pt idx="7">
                  <c:v>6</c:v>
                </c:pt>
                <c:pt idx="8">
                  <c:v>7</c:v>
                </c:pt>
              </c:numCache>
            </c:numRef>
          </c:xVal>
          <c:yVal>
            <c:numRef>
              <c:f>'LVFX1.5%'!$D$9:$L$9</c:f>
              <c:numCache>
                <c:formatCode>General</c:formatCode>
                <c:ptCount val="9"/>
                <c:pt idx="0">
                  <c:v>0</c:v>
                </c:pt>
                <c:pt idx="1">
                  <c:v>0.8</c:v>
                </c:pt>
                <c:pt idx="2" formatCode="0.0_ ">
                  <c:v>3.2</c:v>
                </c:pt>
                <c:pt idx="3" formatCode="0.0_ ">
                  <c:v>3.9</c:v>
                </c:pt>
                <c:pt idx="4" formatCode="0.0_ ">
                  <c:v>4</c:v>
                </c:pt>
                <c:pt idx="5" formatCode="0.0_ ">
                  <c:v>4</c:v>
                </c:pt>
                <c:pt idx="6" formatCode="0.0_ ">
                  <c:v>4</c:v>
                </c:pt>
                <c:pt idx="7" formatCode="0.0_ ">
                  <c:v>4</c:v>
                </c:pt>
                <c:pt idx="8" formatCode="0.0_ ">
                  <c:v>4</c:v>
                </c:pt>
              </c:numCache>
            </c:numRef>
          </c:yVal>
          <c:smooth val="0"/>
          <c:extLst>
            <c:ext xmlns:c16="http://schemas.microsoft.com/office/drawing/2014/chart" uri="{C3380CC4-5D6E-409C-BE32-E72D297353CC}">
              <c16:uniqueId val="{00000002-4DD6-4378-8323-1063E5EE1D1C}"/>
            </c:ext>
          </c:extLst>
        </c:ser>
        <c:dLbls>
          <c:showLegendKey val="0"/>
          <c:showVal val="0"/>
          <c:showCatName val="0"/>
          <c:showSerName val="0"/>
          <c:showPercent val="0"/>
          <c:showBubbleSize val="0"/>
        </c:dLbls>
        <c:axId val="311954808"/>
        <c:axId val="371445328"/>
      </c:scatterChart>
      <c:valAx>
        <c:axId val="311954808"/>
        <c:scaling>
          <c:orientation val="minMax"/>
          <c:max val="7"/>
        </c:scaling>
        <c:delete val="0"/>
        <c:axPos val="b"/>
        <c:title>
          <c:tx>
            <c:rich>
              <a:bodyPr/>
              <a:lstStyle/>
              <a:p>
                <a:pPr>
                  <a:defRPr/>
                </a:pPr>
                <a:r>
                  <a:rPr lang="ja-JP"/>
                  <a:t>接種後日数</a:t>
                </a:r>
                <a:r>
                  <a:rPr lang="en-US"/>
                  <a:t>(</a:t>
                </a:r>
                <a:r>
                  <a:rPr lang="ja-JP"/>
                  <a:t>日</a:t>
                </a:r>
                <a:r>
                  <a:rPr lang="en-US"/>
                  <a:t>)</a:t>
                </a:r>
              </a:p>
            </c:rich>
          </c:tx>
          <c:layout>
            <c:manualLayout>
              <c:xMode val="edge"/>
              <c:yMode val="edge"/>
              <c:x val="0.44276406151681019"/>
              <c:y val="0.81284471183765084"/>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a:pPr>
            <a:endParaRPr lang="ja-JP"/>
          </a:p>
        </c:txPr>
        <c:crossAx val="371445328"/>
        <c:crossesAt val="0"/>
        <c:crossBetween val="midCat"/>
        <c:majorUnit val="1"/>
        <c:minorUnit val="1"/>
      </c:valAx>
      <c:valAx>
        <c:axId val="371445328"/>
        <c:scaling>
          <c:orientation val="minMax"/>
          <c:max val="5"/>
          <c:min val="0"/>
        </c:scaling>
        <c:delete val="0"/>
        <c:axPos val="l"/>
        <c:title>
          <c:tx>
            <c:rich>
              <a:bodyPr/>
              <a:lstStyle/>
              <a:p>
                <a:pPr>
                  <a:defRPr/>
                </a:pPr>
                <a:r>
                  <a:rPr lang="ja-JP"/>
                  <a:t>スコア</a:t>
                </a:r>
              </a:p>
            </c:rich>
          </c:tx>
          <c:layout>
            <c:manualLayout>
              <c:xMode val="edge"/>
              <c:yMode val="edge"/>
              <c:x val="4.2778312934130746E-5"/>
              <c:y val="0.28572439397580257"/>
            </c:manualLayout>
          </c:layout>
          <c:overlay val="0"/>
          <c:spPr>
            <a:noFill/>
            <a:ln w="25400">
              <a:noFill/>
            </a:ln>
          </c:spPr>
        </c:title>
        <c:numFmt formatCode="General" sourceLinked="1"/>
        <c:majorTickMark val="in"/>
        <c:minorTickMark val="none"/>
        <c:tickLblPos val="nextTo"/>
        <c:spPr>
          <a:ln w="12700">
            <a:solidFill>
              <a:srgbClr val="000000"/>
            </a:solidFill>
            <a:prstDash val="solid"/>
          </a:ln>
        </c:spPr>
        <c:txPr>
          <a:bodyPr rot="0" vert="horz"/>
          <a:lstStyle/>
          <a:p>
            <a:pPr>
              <a:defRPr/>
            </a:pPr>
            <a:endParaRPr lang="ja-JP"/>
          </a:p>
        </c:txPr>
        <c:crossAx val="311954808"/>
        <c:crosses val="autoZero"/>
        <c:crossBetween val="midCat"/>
        <c:majorUnit val="1"/>
      </c:valAx>
      <c:spPr>
        <a:noFill/>
        <a:ln w="25400">
          <a:noFill/>
        </a:ln>
      </c:spPr>
    </c:plotArea>
    <c:legend>
      <c:legendPos val="r"/>
      <c:layout>
        <c:manualLayout>
          <c:xMode val="edge"/>
          <c:yMode val="edge"/>
          <c:x val="0.28608801261189337"/>
          <c:y val="0.2543980195835267"/>
          <c:w val="0.7104180057781958"/>
          <c:h val="0.24597410051975591"/>
        </c:manualLayout>
      </c:layout>
      <c:overlay val="0"/>
      <c:spPr>
        <a:noFill/>
        <a:ln w="25400">
          <a:noFill/>
        </a:ln>
      </c:sp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pitchFamily="34" charset="0"/>
          <a:ea typeface="MS UI Gothic" pitchFamily="50" charset="-128"/>
          <a:cs typeface="Arial" pitchFamily="34" charset="0"/>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0.37399</cdr:x>
      <cdr:y>0.89109</cdr:y>
    </cdr:from>
    <cdr:to>
      <cdr:x>1</cdr:x>
      <cdr:y>1</cdr:y>
    </cdr:to>
    <cdr:sp macro="" textlink="">
      <cdr:nvSpPr>
        <cdr:cNvPr id="2" name="テキスト ボックス 1"/>
        <cdr:cNvSpPr txBox="1"/>
      </cdr:nvSpPr>
      <cdr:spPr>
        <a:xfrm xmlns:a="http://schemas.openxmlformats.org/drawingml/2006/main">
          <a:off x="1215209" y="1876424"/>
          <a:ext cx="2034101" cy="2293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ja-JP" altLang="en-US" sz="1000">
              <a:latin typeface="MS UI Gothic" pitchFamily="50" charset="-128"/>
              <a:ea typeface="MS UI Gothic" pitchFamily="50" charset="-128"/>
              <a:cs typeface="Arial" pitchFamily="34" charset="0"/>
            </a:rPr>
            <a:t>平均値</a:t>
          </a:r>
          <a:r>
            <a:rPr lang="en-US" altLang="ja-JP" sz="1000">
              <a:latin typeface="MS UI Gothic" pitchFamily="50" charset="-128"/>
              <a:ea typeface="MS UI Gothic" pitchFamily="50" charset="-128"/>
              <a:cs typeface="Arial" pitchFamily="34" charset="0"/>
            </a:rPr>
            <a:t>±</a:t>
          </a:r>
          <a:r>
            <a:rPr lang="ja-JP" altLang="en-US" sz="1000">
              <a:latin typeface="MS UI Gothic" pitchFamily="50" charset="-128"/>
              <a:ea typeface="MS UI Gothic" pitchFamily="50" charset="-128"/>
              <a:cs typeface="Arial" pitchFamily="34" charset="0"/>
            </a:rPr>
            <a:t>標準偏差</a:t>
          </a:r>
          <a:r>
            <a:rPr lang="en-US" altLang="ja-JP" sz="1000">
              <a:latin typeface="MS UI Gothic" pitchFamily="50" charset="-128"/>
              <a:ea typeface="MS UI Gothic" pitchFamily="50" charset="-128"/>
              <a:cs typeface="Arial" pitchFamily="34" charset="0"/>
            </a:rPr>
            <a:t>(n=10)</a:t>
          </a:r>
        </a:p>
        <a:p xmlns:a="http://schemas.openxmlformats.org/drawingml/2006/main">
          <a:pPr algn="r"/>
          <a:endParaRPr lang="ja-JP" altLang="en-US" sz="1000">
            <a:latin typeface="MS UI Gothic" pitchFamily="50" charset="-128"/>
            <a:ea typeface="MS UI Gothic" pitchFamily="50" charset="-128"/>
            <a:cs typeface="Arial" pitchFamily="34"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製品比較表</vt:lpstr>
      <vt:lpstr>製品比較表</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dc:title>
  <dc:creator>（株）テイカ製薬</dc:creator>
  <cp:lastModifiedBy>y.m</cp:lastModifiedBy>
  <cp:revision>30</cp:revision>
  <cp:lastPrinted>2019-09-09T06:01:00Z</cp:lastPrinted>
  <dcterms:created xsi:type="dcterms:W3CDTF">2013-06-24T00:40:00Z</dcterms:created>
  <dcterms:modified xsi:type="dcterms:W3CDTF">2025-04-01T00:53:00Z</dcterms:modified>
</cp:coreProperties>
</file>