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849"/>
        <w:gridCol w:w="850"/>
        <w:gridCol w:w="144"/>
        <w:gridCol w:w="707"/>
        <w:gridCol w:w="1573"/>
        <w:gridCol w:w="38"/>
        <w:gridCol w:w="69"/>
        <w:gridCol w:w="590"/>
        <w:gridCol w:w="230"/>
        <w:gridCol w:w="1329"/>
        <w:gridCol w:w="1701"/>
        <w:gridCol w:w="386"/>
      </w:tblGrid>
      <w:tr w:rsidR="003F13BC" w:rsidRPr="000D6067" w:rsidTr="00D71AC8">
        <w:trPr>
          <w:cantSplit/>
          <w:trHeight w:val="426"/>
        </w:trPr>
        <w:tc>
          <w:tcPr>
            <w:tcW w:w="30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13BC" w:rsidRPr="000D6067" w:rsidRDefault="003F13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13BC" w:rsidRPr="000D6067" w:rsidRDefault="00C52D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6067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>製品比較表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F13BC" w:rsidRPr="007077E3" w:rsidRDefault="00C52DAB" w:rsidP="00FB4D25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5B61A1">
              <w:rPr>
                <w:rFonts w:ascii="ＭＳ Ｐ明朝" w:eastAsia="ＭＳ Ｐ明朝" w:hAnsi="ＭＳ Ｐ明朝"/>
                <w:sz w:val="18"/>
              </w:rPr>
              <w:t>20</w:t>
            </w:r>
            <w:r w:rsidR="0090050E" w:rsidRPr="005B61A1">
              <w:rPr>
                <w:rFonts w:ascii="ＭＳ Ｐ明朝" w:eastAsia="ＭＳ Ｐ明朝" w:hAnsi="ＭＳ Ｐ明朝" w:hint="eastAsia"/>
                <w:sz w:val="18"/>
              </w:rPr>
              <w:t>2</w:t>
            </w:r>
            <w:r w:rsidR="00FB4D25">
              <w:rPr>
                <w:rFonts w:ascii="ＭＳ Ｐ明朝" w:eastAsia="ＭＳ Ｐ明朝" w:hAnsi="ＭＳ Ｐ明朝" w:hint="eastAsia"/>
                <w:sz w:val="18"/>
              </w:rPr>
              <w:t>5</w:t>
            </w:r>
            <w:r w:rsidRPr="007077E3">
              <w:rPr>
                <w:rFonts w:ascii="ＭＳ Ｐ明朝" w:eastAsia="ＭＳ Ｐ明朝" w:hAnsi="ＭＳ Ｐ明朝"/>
                <w:sz w:val="18"/>
              </w:rPr>
              <w:t>年</w:t>
            </w:r>
            <w:r w:rsidR="008D1ADB">
              <w:rPr>
                <w:rFonts w:ascii="ＭＳ Ｐ明朝" w:eastAsia="ＭＳ Ｐ明朝" w:hAnsi="ＭＳ Ｐ明朝" w:hint="eastAsia"/>
                <w:sz w:val="18"/>
              </w:rPr>
              <w:t>4</w:t>
            </w:r>
            <w:r w:rsidRPr="007077E3">
              <w:rPr>
                <w:rFonts w:ascii="ＭＳ Ｐ明朝" w:eastAsia="ＭＳ Ｐ明朝" w:hAnsi="ＭＳ Ｐ明朝"/>
                <w:sz w:val="18"/>
              </w:rPr>
              <w:t>月</w:t>
            </w:r>
            <w:r w:rsidR="004F12D4">
              <w:rPr>
                <w:rFonts w:ascii="ＭＳ Ｐ明朝" w:eastAsia="ＭＳ Ｐ明朝" w:hAnsi="ＭＳ Ｐ明朝" w:hint="eastAsia"/>
                <w:sz w:val="18"/>
              </w:rPr>
              <w:t>改訂</w:t>
            </w:r>
          </w:p>
        </w:tc>
      </w:tr>
      <w:tr w:rsidR="003F13BC" w:rsidRPr="000D6067" w:rsidTr="00D71AC8">
        <w:trPr>
          <w:cantSplit/>
          <w:trHeight w:val="397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13BC" w:rsidRPr="000D6067" w:rsidRDefault="003F13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2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F13BC" w:rsidRPr="00D64056" w:rsidRDefault="00C52DAB">
            <w:pPr>
              <w:jc w:val="center"/>
              <w:rPr>
                <w:rFonts w:ascii="MS UI Gothic" w:eastAsia="MS UI Gothic" w:hAnsi="MS UI Gothic"/>
              </w:rPr>
            </w:pPr>
            <w:r w:rsidRPr="00D64056">
              <w:rPr>
                <w:rFonts w:ascii="MS UI Gothic" w:eastAsia="MS UI Gothic" w:hAnsi="MS UI Gothic" w:hint="eastAsia"/>
              </w:rPr>
              <w:t>後発</w:t>
            </w:r>
            <w:r w:rsidR="0090050E">
              <w:rPr>
                <w:rFonts w:ascii="MS UI Gothic" w:eastAsia="MS UI Gothic" w:hAnsi="MS UI Gothic" w:hint="eastAsia"/>
              </w:rPr>
              <w:t>医薬</w:t>
            </w:r>
            <w:r w:rsidRPr="00D64056">
              <w:rPr>
                <w:rFonts w:ascii="MS UI Gothic" w:eastAsia="MS UI Gothic" w:hAnsi="MS UI Gothic" w:hint="eastAsia"/>
              </w:rPr>
              <w:t>品</w:t>
            </w:r>
          </w:p>
        </w:tc>
        <w:tc>
          <w:tcPr>
            <w:tcW w:w="4303" w:type="dxa"/>
            <w:gridSpan w:val="6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13BC" w:rsidRPr="00D64056" w:rsidRDefault="00E215BF">
            <w:pPr>
              <w:jc w:val="center"/>
              <w:rPr>
                <w:rFonts w:ascii="MS UI Gothic" w:eastAsia="MS UI Gothic" w:hAnsi="MS UI Gothic"/>
              </w:rPr>
            </w:pPr>
            <w:r w:rsidRPr="00D64056">
              <w:rPr>
                <w:rFonts w:ascii="MS UI Gothic" w:eastAsia="MS UI Gothic" w:hAnsi="MS UI Gothic" w:hint="eastAsia"/>
              </w:rPr>
              <w:t>標準製剤</w:t>
            </w:r>
          </w:p>
        </w:tc>
      </w:tr>
      <w:tr w:rsidR="003F13BC" w:rsidTr="00D71AC8">
        <w:trPr>
          <w:cantSplit/>
          <w:trHeight w:val="567"/>
        </w:trPr>
        <w:tc>
          <w:tcPr>
            <w:tcW w:w="1374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0D6067" w:rsidRDefault="00304CD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製剤</w:t>
            </w:r>
            <w:r w:rsidR="00C52DAB" w:rsidRPr="000D6067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162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3F13BC" w:rsidRPr="0078451E" w:rsidRDefault="00C52DAB">
            <w:pPr>
              <w:spacing w:line="360" w:lineRule="auto"/>
              <w:jc w:val="center"/>
              <w:rPr>
                <w:rFonts w:ascii="MS UI Gothic" w:eastAsia="MS UI Gothic" w:hAnsi="MS UI Gothic"/>
                <w:bCs/>
                <w:sz w:val="24"/>
              </w:rPr>
            </w:pPr>
            <w:r w:rsidRPr="0078451E">
              <w:rPr>
                <w:rFonts w:ascii="MS UI Gothic" w:eastAsia="MS UI Gothic" w:hAnsi="MS UI Gothic"/>
                <w:bCs/>
                <w:sz w:val="24"/>
              </w:rPr>
              <w:t>トラニラスト点眼液0.5%「TS」</w:t>
            </w:r>
          </w:p>
        </w:tc>
        <w:tc>
          <w:tcPr>
            <w:tcW w:w="4303" w:type="dxa"/>
            <w:gridSpan w:val="6"/>
            <w:tcBorders>
              <w:top w:val="double" w:sz="4" w:space="0" w:color="auto"/>
              <w:right w:val="single" w:sz="12" w:space="0" w:color="auto"/>
            </w:tcBorders>
          </w:tcPr>
          <w:p w:rsidR="003F13BC" w:rsidRPr="00CD0D12" w:rsidRDefault="00E215BF" w:rsidP="00D64056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911AA">
              <w:rPr>
                <w:rFonts w:ascii="ＭＳ Ｐ明朝" w:eastAsia="ＭＳ Ｐ明朝" w:hAnsi="ＭＳ Ｐ明朝"/>
                <w:sz w:val="24"/>
              </w:rPr>
              <w:t>標準製剤</w:t>
            </w:r>
            <w:r w:rsidR="00D64056" w:rsidRPr="00A911AA">
              <w:rPr>
                <w:rFonts w:ascii="ＭＳ Ｐ明朝" w:eastAsia="ＭＳ Ｐ明朝" w:hAnsi="ＭＳ Ｐ明朝"/>
                <w:sz w:val="24"/>
              </w:rPr>
              <w:t>（点眼剤，</w:t>
            </w:r>
            <w:r w:rsidR="0057347D" w:rsidRPr="00A911AA">
              <w:rPr>
                <w:rFonts w:ascii="ＭＳ Ｐ明朝" w:eastAsia="ＭＳ Ｐ明朝" w:hAnsi="ＭＳ Ｐ明朝"/>
                <w:sz w:val="24"/>
              </w:rPr>
              <w:t>0.5%</w:t>
            </w:r>
            <w:r w:rsidR="00D64056" w:rsidRPr="00A911AA">
              <w:rPr>
                <w:rFonts w:ascii="ＭＳ Ｐ明朝" w:eastAsia="ＭＳ Ｐ明朝" w:hAnsi="ＭＳ Ｐ明朝"/>
                <w:sz w:val="24"/>
              </w:rPr>
              <w:t>）</w:t>
            </w:r>
          </w:p>
        </w:tc>
      </w:tr>
      <w:tr w:rsidR="003F13BC" w:rsidRPr="00CD0D12" w:rsidTr="00D71AC8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会社名</w:t>
            </w:r>
          </w:p>
        </w:tc>
        <w:tc>
          <w:tcPr>
            <w:tcW w:w="4162" w:type="dxa"/>
            <w:gridSpan w:val="6"/>
            <w:tcBorders>
              <w:left w:val="double" w:sz="4" w:space="0" w:color="auto"/>
            </w:tcBorders>
            <w:vAlign w:val="center"/>
          </w:tcPr>
          <w:p w:rsidR="003F13BC" w:rsidRPr="00D64056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D64056">
              <w:rPr>
                <w:rFonts w:ascii="MS UI Gothic" w:eastAsia="MS UI Gothic" w:hAnsi="MS UI Gothic"/>
              </w:rPr>
              <w:t>テイカ製薬株式会社</w:t>
            </w:r>
          </w:p>
        </w:tc>
        <w:tc>
          <w:tcPr>
            <w:tcW w:w="4303" w:type="dxa"/>
            <w:gridSpan w:val="6"/>
            <w:tcBorders>
              <w:right w:val="single" w:sz="12" w:space="0" w:color="auto"/>
            </w:tcBorders>
            <w:vAlign w:val="center"/>
          </w:tcPr>
          <w:p w:rsidR="003F13BC" w:rsidRPr="00CD0D12" w:rsidRDefault="003F13BC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F13BC" w:rsidRPr="00CD0D12" w:rsidTr="00D71AC8">
        <w:trPr>
          <w:cantSplit/>
          <w:trHeight w:val="108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薬価</w:t>
            </w:r>
          </w:p>
        </w:tc>
        <w:tc>
          <w:tcPr>
            <w:tcW w:w="4162" w:type="dxa"/>
            <w:gridSpan w:val="6"/>
            <w:tcBorders>
              <w:left w:val="double" w:sz="4" w:space="0" w:color="auto"/>
            </w:tcBorders>
            <w:vAlign w:val="center"/>
          </w:tcPr>
          <w:p w:rsidR="003F13BC" w:rsidRPr="00CD0D12" w:rsidRDefault="00C52DAB" w:rsidP="00FB4D25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 xml:space="preserve">5mL　</w:t>
            </w:r>
            <w:r w:rsidR="0090050E" w:rsidRPr="005B61A1">
              <w:rPr>
                <w:rFonts w:ascii="ＭＳ Ｐ明朝" w:eastAsia="ＭＳ Ｐ明朝" w:hAnsi="ＭＳ Ｐ明朝"/>
              </w:rPr>
              <w:t>2</w:t>
            </w:r>
            <w:r w:rsidR="00747B40">
              <w:rPr>
                <w:rFonts w:ascii="ＭＳ Ｐ明朝" w:eastAsia="ＭＳ Ｐ明朝" w:hAnsi="ＭＳ Ｐ明朝" w:hint="eastAsia"/>
              </w:rPr>
              <w:t>0</w:t>
            </w:r>
            <w:r w:rsidR="00FB4D25">
              <w:rPr>
                <w:rFonts w:ascii="ＭＳ Ｐ明朝" w:eastAsia="ＭＳ Ｐ明朝" w:hAnsi="ＭＳ Ｐ明朝" w:hint="eastAsia"/>
              </w:rPr>
              <w:t>3</w:t>
            </w:r>
            <w:r w:rsidR="00747B40">
              <w:rPr>
                <w:rFonts w:ascii="ＭＳ Ｐ明朝" w:eastAsia="ＭＳ Ｐ明朝" w:hAnsi="ＭＳ Ｐ明朝" w:hint="eastAsia"/>
              </w:rPr>
              <w:t>.</w:t>
            </w:r>
            <w:r w:rsidR="00FB4D25">
              <w:rPr>
                <w:rFonts w:ascii="ＭＳ Ｐ明朝" w:eastAsia="ＭＳ Ｐ明朝" w:hAnsi="ＭＳ Ｐ明朝" w:hint="eastAsia"/>
              </w:rPr>
              <w:t>0</w:t>
            </w:r>
            <w:r w:rsidR="0030130C" w:rsidRPr="005B61A1">
              <w:rPr>
                <w:rFonts w:ascii="ＭＳ Ｐ明朝" w:eastAsia="ＭＳ Ｐ明朝" w:hAnsi="ＭＳ Ｐ明朝" w:hint="eastAsia"/>
              </w:rPr>
              <w:t>0</w:t>
            </w:r>
            <w:r w:rsidRPr="00CD0D12">
              <w:rPr>
                <w:rFonts w:ascii="ＭＳ Ｐ明朝" w:eastAsia="ＭＳ Ｐ明朝" w:hAnsi="ＭＳ Ｐ明朝"/>
              </w:rPr>
              <w:t>円</w:t>
            </w:r>
          </w:p>
        </w:tc>
        <w:tc>
          <w:tcPr>
            <w:tcW w:w="4303" w:type="dxa"/>
            <w:gridSpan w:val="6"/>
            <w:tcBorders>
              <w:right w:val="single" w:sz="12" w:space="0" w:color="auto"/>
            </w:tcBorders>
            <w:vAlign w:val="center"/>
          </w:tcPr>
          <w:p w:rsidR="003F13BC" w:rsidRPr="00CD0D12" w:rsidRDefault="00C52DAB" w:rsidP="004E6157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5B61A1">
              <w:rPr>
                <w:rFonts w:ascii="ＭＳ Ｐ明朝" w:eastAsia="ＭＳ Ｐ明朝" w:hAnsi="ＭＳ Ｐ明朝"/>
              </w:rPr>
              <w:t xml:space="preserve">5mL　</w:t>
            </w:r>
            <w:r w:rsidR="004E6157">
              <w:rPr>
                <w:rFonts w:ascii="ＭＳ Ｐ明朝" w:eastAsia="ＭＳ Ｐ明朝" w:hAnsi="ＭＳ Ｐ明朝" w:hint="eastAsia"/>
              </w:rPr>
              <w:t>306</w:t>
            </w:r>
            <w:r w:rsidR="00747B40">
              <w:rPr>
                <w:rFonts w:ascii="ＭＳ Ｐ明朝" w:eastAsia="ＭＳ Ｐ明朝" w:hAnsi="ＭＳ Ｐ明朝" w:hint="eastAsia"/>
              </w:rPr>
              <w:t>.</w:t>
            </w:r>
            <w:r w:rsidR="004E6157">
              <w:rPr>
                <w:rFonts w:ascii="ＭＳ Ｐ明朝" w:eastAsia="ＭＳ Ｐ明朝" w:hAnsi="ＭＳ Ｐ明朝" w:hint="eastAsia"/>
              </w:rPr>
              <w:t>2</w:t>
            </w:r>
            <w:r w:rsidR="00747B40">
              <w:rPr>
                <w:rFonts w:ascii="ＭＳ Ｐ明朝" w:eastAsia="ＭＳ Ｐ明朝" w:hAnsi="ＭＳ Ｐ明朝" w:hint="eastAsia"/>
              </w:rPr>
              <w:t>0</w:t>
            </w:r>
            <w:r w:rsidRPr="00CD0D12">
              <w:rPr>
                <w:rFonts w:ascii="ＭＳ Ｐ明朝" w:eastAsia="ＭＳ Ｐ明朝" w:hAnsi="ＭＳ Ｐ明朝"/>
              </w:rPr>
              <w:t>円</w:t>
            </w:r>
          </w:p>
        </w:tc>
      </w:tr>
      <w:tr w:rsidR="003F13BC" w:rsidRPr="00CD0D12" w:rsidTr="00D71AC8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304CD0" w:rsidP="00304CD0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有効</w:t>
            </w:r>
            <w:r w:rsidR="00C52DAB" w:rsidRPr="00CD0D12">
              <w:rPr>
                <w:rFonts w:ascii="MS UI Gothic" w:eastAsia="MS UI Gothic" w:hAnsi="MS UI Gothic" w:hint="eastAsia"/>
              </w:rPr>
              <w:t>成分</w:t>
            </w:r>
          </w:p>
        </w:tc>
        <w:tc>
          <w:tcPr>
            <w:tcW w:w="8465" w:type="dxa"/>
            <w:gridSpan w:val="1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13BC" w:rsidRPr="00CD0D12" w:rsidRDefault="0030384C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日局 </w:t>
            </w:r>
            <w:r w:rsidR="00C52DAB" w:rsidRPr="00CD0D12">
              <w:rPr>
                <w:rFonts w:ascii="ＭＳ Ｐ明朝" w:eastAsia="ＭＳ Ｐ明朝" w:hAnsi="ＭＳ Ｐ明朝"/>
              </w:rPr>
              <w:t>トラニラスト</w:t>
            </w:r>
          </w:p>
        </w:tc>
      </w:tr>
      <w:tr w:rsidR="003F13BC" w:rsidRPr="00CD0D12" w:rsidTr="00D71AC8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規格</w:t>
            </w:r>
          </w:p>
        </w:tc>
        <w:tc>
          <w:tcPr>
            <w:tcW w:w="8465" w:type="dxa"/>
            <w:gridSpan w:val="1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13BC" w:rsidRPr="00CD0D12" w:rsidRDefault="00A8292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1</w:t>
            </w:r>
            <w:r w:rsidR="00C52DAB" w:rsidRPr="00CD0D12">
              <w:rPr>
                <w:rFonts w:ascii="ＭＳ Ｐ明朝" w:eastAsia="ＭＳ Ｐ明朝" w:hAnsi="ＭＳ Ｐ明朝"/>
              </w:rPr>
              <w:t>mL中に</w:t>
            </w:r>
            <w:r w:rsidRPr="00CD0D12">
              <w:rPr>
                <w:rFonts w:ascii="ＭＳ Ｐ明朝" w:eastAsia="ＭＳ Ｐ明朝" w:hAnsi="ＭＳ Ｐ明朝" w:hint="eastAsia"/>
              </w:rPr>
              <w:t xml:space="preserve">日局 </w:t>
            </w:r>
            <w:r w:rsidR="00C52DAB" w:rsidRPr="00CD0D12">
              <w:rPr>
                <w:rFonts w:ascii="ＭＳ Ｐ明朝" w:eastAsia="ＭＳ Ｐ明朝" w:hAnsi="ＭＳ Ｐ明朝"/>
              </w:rPr>
              <w:t>トラニラスト5mg</w:t>
            </w:r>
            <w:r w:rsidRPr="00CD0D12">
              <w:rPr>
                <w:rFonts w:ascii="ＭＳ Ｐ明朝" w:eastAsia="ＭＳ Ｐ明朝" w:hAnsi="ＭＳ Ｐ明朝" w:hint="eastAsia"/>
              </w:rPr>
              <w:t>を含有する。</w:t>
            </w:r>
          </w:p>
        </w:tc>
      </w:tr>
      <w:tr w:rsidR="003F13BC" w:rsidRPr="00CD0D12" w:rsidTr="003F42F6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効能･効果</w:t>
            </w:r>
          </w:p>
        </w:tc>
        <w:tc>
          <w:tcPr>
            <w:tcW w:w="1842" w:type="dxa"/>
            <w:gridSpan w:val="3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【</w:t>
            </w:r>
            <w:r w:rsidR="00E215BF" w:rsidRPr="00CD0D12">
              <w:rPr>
                <w:rFonts w:ascii="ＭＳ Ｐ明朝" w:eastAsia="ＭＳ Ｐ明朝" w:hAnsi="ＭＳ Ｐ明朝"/>
              </w:rPr>
              <w:t>標準製剤</w:t>
            </w:r>
            <w:r w:rsidRPr="00CD0D12">
              <w:rPr>
                <w:rFonts w:ascii="ＭＳ Ｐ明朝" w:eastAsia="ＭＳ Ｐ明朝" w:hAnsi="ＭＳ Ｐ明朝"/>
              </w:rPr>
              <w:t>と同じ】</w:t>
            </w:r>
          </w:p>
        </w:tc>
        <w:tc>
          <w:tcPr>
            <w:tcW w:w="6623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アレルギー性結膜炎</w:t>
            </w:r>
          </w:p>
        </w:tc>
      </w:tr>
      <w:tr w:rsidR="003F13BC" w:rsidRPr="00CD0D12" w:rsidTr="003F42F6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用法･用量</w:t>
            </w:r>
          </w:p>
        </w:tc>
        <w:tc>
          <w:tcPr>
            <w:tcW w:w="1842" w:type="dxa"/>
            <w:gridSpan w:val="3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【</w:t>
            </w:r>
            <w:r w:rsidR="00E215BF" w:rsidRPr="00CD0D12">
              <w:rPr>
                <w:rFonts w:ascii="ＭＳ Ｐ明朝" w:eastAsia="ＭＳ Ｐ明朝" w:hAnsi="ＭＳ Ｐ明朝"/>
              </w:rPr>
              <w:t>標準製剤</w:t>
            </w:r>
            <w:r w:rsidRPr="00CD0D12">
              <w:rPr>
                <w:rFonts w:ascii="ＭＳ Ｐ明朝" w:eastAsia="ＭＳ Ｐ明朝" w:hAnsi="ＭＳ Ｐ明朝"/>
              </w:rPr>
              <w:t>と同じ】</w:t>
            </w:r>
          </w:p>
        </w:tc>
        <w:tc>
          <w:tcPr>
            <w:tcW w:w="6623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F13BC" w:rsidRPr="00CD0D12" w:rsidRDefault="00C52DAB" w:rsidP="00CD0D12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通常、1回1～2滴を1日4回（朝、昼、夕方及び就寝前）点眼する。</w:t>
            </w:r>
          </w:p>
        </w:tc>
      </w:tr>
      <w:tr w:rsidR="003F13BC" w:rsidTr="00D71AC8">
        <w:trPr>
          <w:cantSplit/>
          <w:trHeight w:val="397"/>
        </w:trPr>
        <w:tc>
          <w:tcPr>
            <w:tcW w:w="1374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13BC" w:rsidRPr="000D6067" w:rsidRDefault="00C52DAB" w:rsidP="00FB4D2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0D6067">
              <w:rPr>
                <w:rFonts w:ascii="ＭＳ Ｐゴシック" w:eastAsia="ＭＳ Ｐゴシック" w:hAnsi="ＭＳ Ｐゴシック" w:hint="eastAsia"/>
              </w:rPr>
              <w:t>添加</w:t>
            </w:r>
            <w:r w:rsidR="00FB4D25">
              <w:rPr>
                <w:rFonts w:ascii="ＭＳ Ｐゴシック" w:eastAsia="ＭＳ Ｐゴシック" w:hAnsi="ＭＳ Ｐゴシック" w:hint="eastAsia"/>
              </w:rPr>
              <w:t>剤</w:t>
            </w:r>
          </w:p>
        </w:tc>
        <w:tc>
          <w:tcPr>
            <w:tcW w:w="4124" w:type="dxa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3F13BC" w:rsidRPr="00CD0D12" w:rsidRDefault="00C52DAB" w:rsidP="00A903D2">
            <w:pPr>
              <w:snapToGrid w:val="0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ホウ酸、ホウ砂、ポビドン、ポリソルベート80、グリセリン、エデト酸</w:t>
            </w:r>
            <w:r w:rsidR="00304CD0">
              <w:rPr>
                <w:rFonts w:ascii="ＭＳ Ｐ明朝" w:eastAsia="ＭＳ Ｐ明朝" w:hAnsi="ＭＳ Ｐ明朝" w:hint="eastAsia"/>
              </w:rPr>
              <w:t>ナトリウム</w:t>
            </w:r>
            <w:r w:rsidR="00A903D2">
              <w:rPr>
                <w:rFonts w:ascii="ＭＳ Ｐ明朝" w:eastAsia="ＭＳ Ｐ明朝" w:hAnsi="ＭＳ Ｐ明朝" w:hint="eastAsia"/>
              </w:rPr>
              <w:t>水和物</w:t>
            </w:r>
            <w:r w:rsidRPr="00CD0D12">
              <w:rPr>
                <w:rFonts w:ascii="ＭＳ Ｐ明朝" w:eastAsia="ＭＳ Ｐ明朝" w:hAnsi="ＭＳ Ｐ明朝"/>
              </w:rPr>
              <w:t>、ベンザルコニウム塩化物</w:t>
            </w:r>
            <w:r w:rsidR="00304CD0">
              <w:rPr>
                <w:rFonts w:ascii="ＭＳ Ｐ明朝" w:eastAsia="ＭＳ Ｐ明朝" w:hAnsi="ＭＳ Ｐ明朝" w:hint="eastAsia"/>
              </w:rPr>
              <w:t>、p</w:t>
            </w:r>
            <w:r w:rsidR="00304CD0">
              <w:rPr>
                <w:rFonts w:ascii="ＭＳ Ｐ明朝" w:eastAsia="ＭＳ Ｐ明朝" w:hAnsi="ＭＳ Ｐ明朝"/>
              </w:rPr>
              <w:t>H</w:t>
            </w:r>
            <w:r w:rsidR="00304CD0">
              <w:rPr>
                <w:rFonts w:ascii="ＭＳ Ｐ明朝" w:eastAsia="ＭＳ Ｐ明朝" w:hAnsi="ＭＳ Ｐ明朝" w:hint="eastAsia"/>
              </w:rPr>
              <w:t>調節剤</w:t>
            </w:r>
          </w:p>
        </w:tc>
        <w:tc>
          <w:tcPr>
            <w:tcW w:w="4341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F13BC" w:rsidRPr="00CD0D12" w:rsidRDefault="00C52DAB">
            <w:pPr>
              <w:widowControl/>
              <w:snapToGrid w:val="0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ホウ酸、ホウ砂、ポビドン、ポリソルベート80、ベンザルコニウム塩化物、エデト酸ナトリウ</w:t>
            </w:r>
            <w:bookmarkStart w:id="0" w:name="_GoBack"/>
            <w:bookmarkEnd w:id="0"/>
            <w:r w:rsidRPr="00CD0D12">
              <w:rPr>
                <w:rFonts w:ascii="ＭＳ Ｐ明朝" w:eastAsia="ＭＳ Ｐ明朝" w:hAnsi="ＭＳ Ｐ明朝"/>
              </w:rPr>
              <w:t>ム水和物</w:t>
            </w:r>
          </w:p>
        </w:tc>
      </w:tr>
      <w:tr w:rsidR="003F13BC" w:rsidTr="00D71AC8">
        <w:trPr>
          <w:cantSplit/>
          <w:trHeight w:val="397"/>
        </w:trPr>
        <w:tc>
          <w:tcPr>
            <w:tcW w:w="1374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13BC" w:rsidRPr="000D6067" w:rsidRDefault="00C52DA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0D6067">
              <w:rPr>
                <w:rFonts w:ascii="ＭＳ Ｐゴシック" w:eastAsia="ＭＳ Ｐゴシック" w:hAnsi="ＭＳ Ｐゴシック" w:hint="eastAsia"/>
              </w:rPr>
              <w:t>製品の性状</w:t>
            </w:r>
          </w:p>
        </w:tc>
        <w:tc>
          <w:tcPr>
            <w:tcW w:w="4124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F13BC" w:rsidRPr="00CD0D12" w:rsidRDefault="00C52DAB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 w:rsidRPr="00CD0D12">
              <w:rPr>
                <w:rFonts w:ascii="ＭＳ Ｐ明朝" w:eastAsia="ＭＳ Ｐ明朝" w:hAnsi="ＭＳ Ｐ明朝"/>
                <w:szCs w:val="20"/>
              </w:rPr>
              <w:t>ｐＨ：7.0～8.0</w:t>
            </w:r>
          </w:p>
          <w:p w:rsidR="003F13BC" w:rsidRPr="00CD0D12" w:rsidRDefault="00C52DAB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 w:rsidRPr="00CD0D12">
              <w:rPr>
                <w:rFonts w:ascii="ＭＳ Ｐ明朝" w:eastAsia="ＭＳ Ｐ明朝" w:hAnsi="ＭＳ Ｐ明朝"/>
                <w:szCs w:val="20"/>
              </w:rPr>
              <w:t>浸透圧比：0.9～1.1</w:t>
            </w:r>
          </w:p>
          <w:p w:rsidR="003F13BC" w:rsidRPr="00CD0D12" w:rsidRDefault="00C52DAB" w:rsidP="00304CD0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 w:rsidRPr="00CD0D12">
              <w:rPr>
                <w:rFonts w:ascii="ＭＳ Ｐ明朝" w:eastAsia="ＭＳ Ｐ明朝" w:hAnsi="ＭＳ Ｐ明朝"/>
                <w:szCs w:val="20"/>
              </w:rPr>
              <w:t>性状：微黄色澄明な無菌</w:t>
            </w:r>
            <w:r w:rsidR="00304CD0">
              <w:rPr>
                <w:rFonts w:ascii="ＭＳ Ｐ明朝" w:eastAsia="ＭＳ Ｐ明朝" w:hAnsi="ＭＳ Ｐ明朝" w:hint="eastAsia"/>
                <w:szCs w:val="20"/>
              </w:rPr>
              <w:t>水性点眼剤</w:t>
            </w:r>
          </w:p>
        </w:tc>
        <w:tc>
          <w:tcPr>
            <w:tcW w:w="4341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3BC" w:rsidRPr="00CD0D12" w:rsidRDefault="00C52DAB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 w:rsidRPr="00CD0D12">
              <w:rPr>
                <w:rFonts w:ascii="ＭＳ Ｐ明朝" w:eastAsia="ＭＳ Ｐ明朝" w:hAnsi="ＭＳ Ｐ明朝"/>
                <w:szCs w:val="20"/>
              </w:rPr>
              <w:t>ｐＨ：7.0～8.0</w:t>
            </w:r>
          </w:p>
          <w:p w:rsidR="003F13BC" w:rsidRDefault="00C52DAB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 w:rsidRPr="00CD0D12">
              <w:rPr>
                <w:rFonts w:ascii="ＭＳ Ｐ明朝" w:eastAsia="ＭＳ Ｐ明朝" w:hAnsi="ＭＳ Ｐ明朝"/>
                <w:szCs w:val="20"/>
              </w:rPr>
              <w:t>浸透圧比：0.9～1.1</w:t>
            </w:r>
          </w:p>
          <w:p w:rsidR="003F42F6" w:rsidRPr="00CD0D12" w:rsidRDefault="003F42F6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剤形：無菌水性点眼液</w:t>
            </w:r>
          </w:p>
          <w:p w:rsidR="003F13BC" w:rsidRPr="00CD0D12" w:rsidRDefault="003F42F6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/>
                <w:szCs w:val="20"/>
              </w:rPr>
              <w:t>性状：微黄色</w:t>
            </w:r>
            <w:r>
              <w:rPr>
                <w:rFonts w:ascii="ＭＳ Ｐ明朝" w:eastAsia="ＭＳ Ｐ明朝" w:hAnsi="ＭＳ Ｐ明朝" w:hint="eastAsia"/>
                <w:szCs w:val="20"/>
              </w:rPr>
              <w:t>澄明</w:t>
            </w:r>
          </w:p>
        </w:tc>
      </w:tr>
      <w:tr w:rsidR="003F42F6" w:rsidRPr="00CD0D12" w:rsidTr="003F42F6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CD0D12">
              <w:rPr>
                <w:rFonts w:ascii="MS UI Gothic" w:eastAsia="MS UI Gothic" w:hAnsi="MS UI Gothic" w:hint="eastAsia"/>
              </w:rPr>
              <w:t>貯法</w:t>
            </w:r>
          </w:p>
        </w:tc>
        <w:tc>
          <w:tcPr>
            <w:tcW w:w="1844" w:type="dxa"/>
            <w:gridSpan w:val="3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【標準製剤と同じ】</w:t>
            </w:r>
          </w:p>
        </w:tc>
        <w:tc>
          <w:tcPr>
            <w:tcW w:w="6621" w:type="dxa"/>
            <w:gridSpan w:val="9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室温保存</w:t>
            </w:r>
          </w:p>
        </w:tc>
      </w:tr>
      <w:tr w:rsidR="003F42F6" w:rsidRPr="00CD0D12" w:rsidTr="003F42F6">
        <w:trPr>
          <w:cantSplit/>
          <w:trHeight w:val="51"/>
        </w:trPr>
        <w:tc>
          <w:tcPr>
            <w:tcW w:w="1374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取扱い上の注意</w:t>
            </w:r>
          </w:p>
        </w:tc>
        <w:tc>
          <w:tcPr>
            <w:tcW w:w="1844" w:type="dxa"/>
            <w:gridSpan w:val="3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【標準製剤と同じ】</w:t>
            </w:r>
          </w:p>
        </w:tc>
        <w:tc>
          <w:tcPr>
            <w:tcW w:w="6621" w:type="dxa"/>
            <w:gridSpan w:val="9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42F6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本剤を冷蔵庫等で保存すると、結晶が析出することがあるので避けること。</w:t>
            </w:r>
          </w:p>
          <w:p w:rsidR="003F42F6" w:rsidRPr="00CD0D12" w:rsidRDefault="003F42F6" w:rsidP="003F42F6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外箱開封後は遮光して保存すること。</w:t>
            </w: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生物学的</w:t>
            </w:r>
          </w:p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同等性</w:t>
            </w:r>
          </w:p>
        </w:tc>
        <w:tc>
          <w:tcPr>
            <w:tcW w:w="8465" w:type="dxa"/>
            <w:gridSpan w:val="12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</w:tcPr>
          <w:p w:rsidR="003F42F6" w:rsidRPr="00CD0D12" w:rsidRDefault="003F42F6" w:rsidP="003F42F6">
            <w:pPr>
              <w:snapToGrid w:val="0"/>
              <w:ind w:leftChars="84" w:left="176"/>
              <w:rPr>
                <w:rFonts w:ascii="ＭＳ Ｐ明朝" w:eastAsia="ＭＳ Ｐ明朝" w:hAnsi="ＭＳ Ｐ明朝"/>
              </w:rPr>
            </w:pPr>
            <w:r w:rsidRPr="00CD0D12">
              <w:rPr>
                <w:rFonts w:ascii="ＭＳ Ｐ明朝" w:eastAsia="ＭＳ Ｐ明朝" w:hAnsi="ＭＳ Ｐ明朝"/>
              </w:rPr>
              <w:t>ラット実験的アレルギー性結膜炎モデル及びモルモット能動感作アレルギー性結膜炎モデルにおける効果を標準製剤（点眼剤,0.5%）と比較検討した。ラットアレルギー性結膜炎モデルは血管透過性亢進による漏出色素量を指標に、モルモット能動感作アレルギー性結膜炎モデルは、点眼後にアレルギー反応を惹起30分後の炎症の度合いをスコア化し評価した。90%信頼区間法により統計解析を行った結果、両製剤の生物学的同等性が確認された。</w:t>
            </w: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65" w:type="dxa"/>
            <w:gridSpan w:val="12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bottom"/>
          </w:tcPr>
          <w:p w:rsidR="003F42F6" w:rsidRPr="00D82F32" w:rsidRDefault="003F42F6" w:rsidP="003F42F6">
            <w:pPr>
              <w:pStyle w:val="a3"/>
              <w:tabs>
                <w:tab w:val="clear" w:pos="4252"/>
                <w:tab w:val="clear" w:pos="8504"/>
                <w:tab w:val="left" w:pos="557"/>
              </w:tabs>
              <w:ind w:left="176"/>
              <w:rPr>
                <w:rFonts w:ascii="MS UI Gothic" w:eastAsia="MS UI Gothic" w:hAnsi="MS UI Gothic"/>
              </w:rPr>
            </w:pPr>
            <w:r w:rsidRPr="00D82F32">
              <w:rPr>
                <w:rFonts w:ascii="MS UI Gothic" w:eastAsia="MS UI Gothic" w:hAnsi="MS UI Gothic"/>
              </w:rPr>
              <w:t>①ラット実験的アレルギー性結膜炎モデル</w:t>
            </w:r>
          </w:p>
        </w:tc>
      </w:tr>
      <w:tr w:rsidR="003F42F6" w:rsidTr="00D71AC8">
        <w:trPr>
          <w:cantSplit/>
          <w:trHeight w:val="2643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65" w:type="dxa"/>
            <w:gridSpan w:val="12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</w:tcPr>
          <w:p w:rsidR="003F42F6" w:rsidRPr="00D64056" w:rsidRDefault="003F42F6" w:rsidP="003F42F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noProof/>
              </w:rPr>
              <w:drawing>
                <wp:inline distT="0" distB="0" distL="0" distR="0" wp14:anchorId="0E542BE0" wp14:editId="4E23E80C">
                  <wp:extent cx="2819400" cy="1752600"/>
                  <wp:effectExtent l="0" t="0" r="0" b="0"/>
                  <wp:docPr id="1" name="グラフ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>
              <w:rPr>
                <w:rFonts w:asciiTheme="minorHAnsi" w:eastAsia="ＭＳ Ｐ明朝" w:hAnsiTheme="minorHAnsi"/>
              </w:rPr>
              <w:t xml:space="preserve"> </w:t>
            </w: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65" w:type="dxa"/>
            <w:gridSpan w:val="12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bottom"/>
          </w:tcPr>
          <w:p w:rsidR="003F42F6" w:rsidRPr="00D64056" w:rsidRDefault="003F42F6" w:rsidP="003F42F6">
            <w:pPr>
              <w:pStyle w:val="a3"/>
              <w:tabs>
                <w:tab w:val="clear" w:pos="4252"/>
                <w:tab w:val="clear" w:pos="8504"/>
                <w:tab w:val="left" w:pos="557"/>
              </w:tabs>
              <w:ind w:left="176"/>
              <w:rPr>
                <w:rFonts w:asciiTheme="minorHAnsi" w:eastAsia="ＭＳ Ｐ明朝" w:hAnsiTheme="minorHAnsi"/>
              </w:rPr>
            </w:pPr>
            <w:r w:rsidRPr="00D82F32">
              <w:rPr>
                <w:rFonts w:ascii="MS UI Gothic" w:eastAsia="MS UI Gothic" w:hAnsi="MS UI Gothic"/>
              </w:rPr>
              <w:t>②モルモット能動感作アレルギー性結膜炎モデル</w:t>
            </w: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1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F42F6" w:rsidRPr="00D82F32" w:rsidRDefault="003F42F6" w:rsidP="003F42F6">
            <w:pPr>
              <w:pStyle w:val="a3"/>
              <w:ind w:leftChars="492" w:left="1033"/>
              <w:jc w:val="left"/>
              <w:rPr>
                <w:rFonts w:ascii="MS UI Gothic" w:eastAsia="MS UI Gothic" w:hAnsi="MS UI Gothic"/>
                <w:sz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惹起30分後の炎症スコア（本剤）</w:t>
            </w:r>
          </w:p>
        </w:tc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42F6" w:rsidRPr="00D82F32" w:rsidRDefault="003F42F6" w:rsidP="003F42F6">
            <w:pPr>
              <w:pStyle w:val="a3"/>
              <w:ind w:leftChars="300" w:left="630"/>
              <w:jc w:val="left"/>
              <w:rPr>
                <w:rFonts w:ascii="MS UI Gothic" w:eastAsia="MS UI Gothic" w:hAnsi="MS UI Gothic"/>
                <w:sz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惹起30分後の炎症スコア（標準製剤）</w:t>
            </w: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F42F6" w:rsidRPr="00D64056" w:rsidRDefault="003F42F6" w:rsidP="003F42F6">
            <w:pPr>
              <w:pStyle w:val="a3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F42F6" w:rsidRPr="00D82F32" w:rsidRDefault="003F42F6" w:rsidP="003F42F6">
            <w:pPr>
              <w:pStyle w:val="a3"/>
              <w:jc w:val="center"/>
              <w:rPr>
                <w:rFonts w:ascii="MS UI Gothic" w:eastAsia="MS UI Gothic" w:hAnsi="MS UI Gothic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炎症スコア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42F6" w:rsidRPr="00D82F32" w:rsidRDefault="003F42F6" w:rsidP="003F42F6">
            <w:pPr>
              <w:rPr>
                <w:rFonts w:ascii="MS UI Gothic" w:eastAsia="MS UI Gothic" w:hAnsi="MS UI Gothic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F42F6" w:rsidRPr="00D82F32" w:rsidRDefault="003F42F6" w:rsidP="003F42F6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pStyle w:val="a3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炎症スコア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42F6" w:rsidRPr="00D64056" w:rsidRDefault="003F42F6" w:rsidP="003F42F6">
            <w:pPr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3F42F6" w:rsidTr="00D71AC8">
        <w:trPr>
          <w:cantSplit/>
          <w:trHeight w:val="340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F42F6" w:rsidRPr="00D64056" w:rsidRDefault="003F42F6" w:rsidP="003F42F6">
            <w:pPr>
              <w:pStyle w:val="a3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leftChars="155" w:left="325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基剤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firstLineChars="88" w:firstLine="176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3.5±0.20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42F6" w:rsidRPr="00D82F32" w:rsidRDefault="003F42F6" w:rsidP="003F42F6">
            <w:pPr>
              <w:rPr>
                <w:rFonts w:ascii="MS UI Gothic" w:eastAsia="MS UI Gothic" w:hAnsi="MS UI Gothic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leftChars="155" w:left="325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基剤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firstLineChars="88" w:firstLine="176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3.4±0.13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42F6" w:rsidRPr="00D64056" w:rsidRDefault="003F42F6" w:rsidP="003F42F6">
            <w:pPr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3F42F6" w:rsidTr="00D71AC8">
        <w:trPr>
          <w:cantSplit/>
          <w:trHeight w:val="397"/>
        </w:trPr>
        <w:tc>
          <w:tcPr>
            <w:tcW w:w="137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F42F6" w:rsidRPr="00D64056" w:rsidRDefault="003F42F6" w:rsidP="003F42F6">
            <w:pPr>
              <w:pStyle w:val="a3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leftChars="155" w:left="325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0.5%「TS」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firstLineChars="88" w:firstLine="176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t>2.7±0.16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42F6" w:rsidRPr="00D82F32" w:rsidRDefault="003F42F6" w:rsidP="003F42F6">
            <w:pPr>
              <w:rPr>
                <w:rFonts w:ascii="MS UI Gothic" w:eastAsia="MS UI Gothic" w:hAnsi="MS UI Gothic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leftChars="155" w:left="325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/>
                <w:sz w:val="20"/>
                <w:szCs w:val="20"/>
              </w:rPr>
              <w:t>標準製剤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F6" w:rsidRPr="00D82F32" w:rsidRDefault="003F42F6" w:rsidP="003F42F6">
            <w:pPr>
              <w:ind w:firstLineChars="88" w:firstLine="176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t>2.6±0.17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42F6" w:rsidRPr="00D64056" w:rsidRDefault="003F42F6" w:rsidP="003F42F6">
            <w:pPr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3F42F6" w:rsidTr="00D71AC8">
        <w:trPr>
          <w:cantSplit/>
          <w:trHeight w:val="319"/>
        </w:trPr>
        <w:tc>
          <w:tcPr>
            <w:tcW w:w="1374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1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3F42F6" w:rsidRPr="00D82F32" w:rsidRDefault="003F42F6" w:rsidP="003F42F6">
            <w:pPr>
              <w:wordWrap w:val="0"/>
              <w:ind w:firstLineChars="200" w:firstLine="400"/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 w:hint="eastAsia"/>
                <w:sz w:val="20"/>
                <w:szCs w:val="20"/>
              </w:rPr>
              <w:t>MEAN</w:t>
            </w:r>
            <w:r w:rsidRPr="00D82F32">
              <w:rPr>
                <w:rFonts w:ascii="MS UI Gothic" w:eastAsia="MS UI Gothic" w:hAnsi="MS UI Gothic"/>
                <w:sz w:val="20"/>
                <w:szCs w:val="20"/>
              </w:rPr>
              <w:t>±S.E.(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n</w:t>
            </w:r>
            <w:r w:rsidRPr="00D82F32">
              <w:rPr>
                <w:rFonts w:ascii="MS UI Gothic" w:eastAsia="MS UI Gothic" w:hAnsi="MS UI Gothic"/>
                <w:sz w:val="20"/>
                <w:szCs w:val="20"/>
              </w:rPr>
              <w:t xml:space="preserve">=14) </w:t>
            </w:r>
          </w:p>
        </w:tc>
        <w:tc>
          <w:tcPr>
            <w:tcW w:w="4234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F42F6" w:rsidRPr="00D82F32" w:rsidRDefault="003F42F6" w:rsidP="003F42F6">
            <w:pPr>
              <w:wordWrap w:val="0"/>
              <w:ind w:rightChars="135" w:right="283" w:firstLineChars="200" w:firstLine="400"/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  <w:r w:rsidRPr="00D82F32">
              <w:rPr>
                <w:rFonts w:ascii="MS UI Gothic" w:eastAsia="MS UI Gothic" w:hAnsi="MS UI Gothic" w:hint="eastAsia"/>
                <w:sz w:val="20"/>
                <w:szCs w:val="20"/>
              </w:rPr>
              <w:t>MEAN</w:t>
            </w:r>
            <w:r w:rsidRPr="00D82F32">
              <w:rPr>
                <w:rFonts w:ascii="MS UI Gothic" w:eastAsia="MS UI Gothic" w:hAnsi="MS UI Gothic"/>
                <w:sz w:val="20"/>
                <w:szCs w:val="20"/>
              </w:rPr>
              <w:t>±S.E.(</w:t>
            </w:r>
            <w:r>
              <w:rPr>
                <w:rFonts w:ascii="MS UI Gothic" w:eastAsia="MS UI Gothic" w:hAnsi="MS UI Gothic"/>
                <w:sz w:val="20"/>
                <w:szCs w:val="20"/>
              </w:rPr>
              <w:t>n</w:t>
            </w:r>
            <w:r w:rsidRPr="00D82F32">
              <w:rPr>
                <w:rFonts w:ascii="MS UI Gothic" w:eastAsia="MS UI Gothic" w:hAnsi="MS UI Gothic"/>
                <w:sz w:val="20"/>
                <w:szCs w:val="20"/>
              </w:rPr>
              <w:t>=14)</w:t>
            </w:r>
          </w:p>
        </w:tc>
      </w:tr>
      <w:tr w:rsidR="003F42F6" w:rsidTr="00D71AC8">
        <w:trPr>
          <w:cantSplit/>
          <w:trHeight w:val="1596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F42F6" w:rsidRPr="000D6067" w:rsidRDefault="003F42F6" w:rsidP="003F42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6067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F42F6" w:rsidRPr="00D64056" w:rsidRDefault="003F42F6" w:rsidP="003F42F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</w:tbl>
    <w:p w:rsidR="00C52DAB" w:rsidRDefault="00C52DAB"/>
    <w:sectPr w:rsidR="00C52DAB" w:rsidSect="003F13B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8F" w:rsidRDefault="00B45F8F">
      <w:r>
        <w:separator/>
      </w:r>
    </w:p>
  </w:endnote>
  <w:endnote w:type="continuationSeparator" w:id="0">
    <w:p w:rsidR="00B45F8F" w:rsidRDefault="00B4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8F" w:rsidRDefault="00B45F8F">
      <w:r>
        <w:separator/>
      </w:r>
    </w:p>
  </w:footnote>
  <w:footnote w:type="continuationSeparator" w:id="0">
    <w:p w:rsidR="00B45F8F" w:rsidRDefault="00B4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1553C"/>
    <w:multiLevelType w:val="hybridMultilevel"/>
    <w:tmpl w:val="3976D29C"/>
    <w:lvl w:ilvl="0" w:tplc="272887C0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277"/>
    <w:rsid w:val="00043C2C"/>
    <w:rsid w:val="00052099"/>
    <w:rsid w:val="000D6067"/>
    <w:rsid w:val="001002BA"/>
    <w:rsid w:val="00154262"/>
    <w:rsid w:val="001842FF"/>
    <w:rsid w:val="001956DA"/>
    <w:rsid w:val="001B2D59"/>
    <w:rsid w:val="002220B3"/>
    <w:rsid w:val="00295011"/>
    <w:rsid w:val="002A555A"/>
    <w:rsid w:val="002B4EA8"/>
    <w:rsid w:val="002F769C"/>
    <w:rsid w:val="0030130C"/>
    <w:rsid w:val="0030384C"/>
    <w:rsid w:val="00304CD0"/>
    <w:rsid w:val="00312E44"/>
    <w:rsid w:val="00342544"/>
    <w:rsid w:val="003E64F8"/>
    <w:rsid w:val="003F13BC"/>
    <w:rsid w:val="003F42F6"/>
    <w:rsid w:val="004D7CDB"/>
    <w:rsid w:val="004E6157"/>
    <w:rsid w:val="004F12D4"/>
    <w:rsid w:val="0057347D"/>
    <w:rsid w:val="005B61A1"/>
    <w:rsid w:val="00687F45"/>
    <w:rsid w:val="007077E3"/>
    <w:rsid w:val="00747B40"/>
    <w:rsid w:val="0077507B"/>
    <w:rsid w:val="00780277"/>
    <w:rsid w:val="0078451E"/>
    <w:rsid w:val="007C24B0"/>
    <w:rsid w:val="007E4E2C"/>
    <w:rsid w:val="00831111"/>
    <w:rsid w:val="008D1ADB"/>
    <w:rsid w:val="0090050E"/>
    <w:rsid w:val="009217EA"/>
    <w:rsid w:val="009849AC"/>
    <w:rsid w:val="00A8292B"/>
    <w:rsid w:val="00A903D2"/>
    <w:rsid w:val="00A911AA"/>
    <w:rsid w:val="00B45F8F"/>
    <w:rsid w:val="00BD4F72"/>
    <w:rsid w:val="00C11D8D"/>
    <w:rsid w:val="00C25A87"/>
    <w:rsid w:val="00C44945"/>
    <w:rsid w:val="00C52DAB"/>
    <w:rsid w:val="00C63867"/>
    <w:rsid w:val="00C83880"/>
    <w:rsid w:val="00CD0D12"/>
    <w:rsid w:val="00D342BB"/>
    <w:rsid w:val="00D56815"/>
    <w:rsid w:val="00D64056"/>
    <w:rsid w:val="00D71AC8"/>
    <w:rsid w:val="00D82F32"/>
    <w:rsid w:val="00DB747A"/>
    <w:rsid w:val="00DD5B09"/>
    <w:rsid w:val="00E215BF"/>
    <w:rsid w:val="00EC732E"/>
    <w:rsid w:val="00EC7D54"/>
    <w:rsid w:val="00F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B27616D"/>
  <w15:docId w15:val="{4A96AF47-75E6-456F-8DD0-08A30F3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BC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3F13BC"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3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F13BC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3F13BC"/>
    <w:pPr>
      <w:spacing w:line="360" w:lineRule="exact"/>
    </w:pPr>
    <w:rPr>
      <w:sz w:val="22"/>
    </w:rPr>
  </w:style>
  <w:style w:type="paragraph" w:styleId="2">
    <w:name w:val="Body Text 2"/>
    <w:basedOn w:val="a"/>
    <w:semiHidden/>
    <w:rsid w:val="003F13BC"/>
    <w:pPr>
      <w:ind w:rightChars="218" w:right="458"/>
    </w:pPr>
    <w:rPr>
      <w:rFonts w:ascii="ＭＳ 明朝" w:hAnsi="ＭＳ 明朝"/>
    </w:rPr>
  </w:style>
  <w:style w:type="paragraph" w:styleId="a6">
    <w:name w:val="Body Text Indent"/>
    <w:basedOn w:val="a"/>
    <w:semiHidden/>
    <w:rsid w:val="003F13BC"/>
    <w:pPr>
      <w:snapToGrid w:val="0"/>
      <w:ind w:left="250" w:hangingChars="119" w:hanging="250"/>
    </w:pPr>
    <w:rPr>
      <w:rFonts w:ascii="ＭＳ Ｐ明朝" w:eastAsia="ＭＳ Ｐ明朝" w:hAnsi="ＭＳ Ｐ明朝"/>
    </w:rPr>
  </w:style>
  <w:style w:type="paragraph" w:styleId="20">
    <w:name w:val="Body Text Indent 2"/>
    <w:basedOn w:val="a"/>
    <w:semiHidden/>
    <w:rsid w:val="003F13BC"/>
    <w:pPr>
      <w:snapToGrid w:val="0"/>
      <w:ind w:leftChars="52" w:left="319" w:hangingChars="100" w:hanging="210"/>
    </w:pPr>
    <w:rPr>
      <w:rFonts w:ascii="ＭＳ Ｐ明朝" w:eastAsia="ＭＳ Ｐ明朝" w:hAnsi="ＭＳ Ｐ明朝"/>
    </w:rPr>
  </w:style>
  <w:style w:type="paragraph" w:styleId="a7">
    <w:name w:val="Balloon Text"/>
    <w:basedOn w:val="a"/>
    <w:link w:val="a8"/>
    <w:uiPriority w:val="99"/>
    <w:semiHidden/>
    <w:unhideWhenUsed/>
    <w:rsid w:val="007E4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4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774001762927162"/>
          <c:y val="6.0786950689342714E-2"/>
          <c:w val="0.79693784773799559"/>
          <c:h val="0.690322580645161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9525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gradFill rotWithShape="0">
                <a:gsLst>
                  <a:gs pos="0">
                    <a:srgbClr val="0070C0"/>
                  </a:gs>
                  <a:gs pos="50000">
                    <a:schemeClr val="accent5">
                      <a:lumMod val="20000"/>
                      <a:lumOff val="80000"/>
                    </a:schemeClr>
                  </a:gs>
                  <a:gs pos="100000">
                    <a:srgbClr val="0070C0"/>
                  </a:gs>
                </a:gsLst>
                <a:lin ang="0" scaled="1"/>
              </a:gradFill>
              <a:ln w="952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503-41CD-9E9A-DBA95AC9DF9B}"/>
              </c:ext>
            </c:extLst>
          </c:dPt>
          <c:dPt>
            <c:idx val="1"/>
            <c:invertIfNegative val="0"/>
            <c:bubble3D val="0"/>
            <c:spPr>
              <a:gradFill rotWithShape="0">
                <a:gsLst>
                  <a:gs pos="0">
                    <a:srgbClr val="000000"/>
                  </a:gs>
                  <a:gs pos="50000">
                    <a:srgbClr val="000000">
                      <a:gamma/>
                      <a:tint val="0"/>
                      <a:invGamma/>
                    </a:srgbClr>
                  </a:gs>
                  <a:gs pos="100000">
                    <a:srgbClr val="000000"/>
                  </a:gs>
                </a:gsLst>
                <a:lin ang="0" scaled="1"/>
              </a:gradFill>
              <a:ln w="952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503-41CD-9E9A-DBA95AC9DF9B}"/>
              </c:ext>
            </c:extLst>
          </c:dPt>
          <c:dPt>
            <c:idx val="2"/>
            <c:invertIfNegative val="0"/>
            <c:bubble3D val="0"/>
            <c:spPr>
              <a:gradFill rotWithShape="0">
                <a:gsLst>
                  <a:gs pos="0">
                    <a:srgbClr val="C0C0C0"/>
                  </a:gs>
                  <a:gs pos="50000">
                    <a:srgbClr val="FFFFFF"/>
                  </a:gs>
                  <a:gs pos="100000">
                    <a:srgbClr val="C0C0C0"/>
                  </a:gs>
                </a:gsLst>
                <a:lin ang="0" scaled="1"/>
              </a:gradFill>
              <a:ln w="952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503-41CD-9E9A-DBA95AC9DF9B}"/>
              </c:ext>
            </c:extLst>
          </c:dPt>
          <c:errBars>
            <c:errBarType val="plus"/>
            <c:errValType val="cust"/>
            <c:noEndCap val="0"/>
            <c:plus>
              <c:numRef>
                <c:f>トラニラスト!$E$6:$E$8</c:f>
                <c:numCache>
                  <c:formatCode>General</c:formatCode>
                  <c:ptCount val="3"/>
                  <c:pt idx="0">
                    <c:v>0.9</c:v>
                  </c:pt>
                  <c:pt idx="1">
                    <c:v>1.1299999999999999</c:v>
                  </c:pt>
                  <c:pt idx="2">
                    <c:v>1.33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トラニラスト!$C$6:$C$8</c:f>
              <c:strCache>
                <c:ptCount val="3"/>
                <c:pt idx="0">
                  <c:v>0.5%「TS」</c:v>
                </c:pt>
                <c:pt idx="1">
                  <c:v>標準製剤</c:v>
                </c:pt>
                <c:pt idx="2">
                  <c:v>基剤</c:v>
                </c:pt>
              </c:strCache>
            </c:strRef>
          </c:cat>
          <c:val>
            <c:numRef>
              <c:f>トラニラスト!$D$6:$D$8</c:f>
              <c:numCache>
                <c:formatCode>0.00_ </c:formatCode>
                <c:ptCount val="3"/>
                <c:pt idx="0">
                  <c:v>14.77</c:v>
                </c:pt>
                <c:pt idx="1">
                  <c:v>16.079999999999998</c:v>
                </c:pt>
                <c:pt idx="2">
                  <c:v>20.95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03-41CD-9E9A-DBA95AC9D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9232872"/>
        <c:axId val="404410232"/>
      </c:barChart>
      <c:catAx>
        <c:axId val="2792328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ja-JP"/>
          </a:p>
        </c:txPr>
        <c:crossAx val="404410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4410232"/>
        <c:scaling>
          <c:orientation val="minMax"/>
          <c:max val="3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ja-JP"/>
                  <a:t>色素量</a:t>
                </a:r>
                <a:r>
                  <a:rPr lang="en-US"/>
                  <a:t>(μg/site)</a:t>
                </a:r>
              </a:p>
            </c:rich>
          </c:tx>
          <c:layout>
            <c:manualLayout>
              <c:xMode val="edge"/>
              <c:yMode val="edge"/>
              <c:x val="3.8313999283033666E-3"/>
              <c:y val="7.3515718554814466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ja-JP"/>
          </a:p>
        </c:txPr>
        <c:crossAx val="279232872"/>
        <c:crosses val="autoZero"/>
        <c:crossBetween val="between"/>
        <c:majorUnit val="1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itchFamily="34" charset="0"/>
          <a:ea typeface="MS UI Gothic" pitchFamily="50" charset="-128"/>
          <a:cs typeface="Arial" pitchFamily="34" charset="0"/>
        </a:defRPr>
      </a:pPr>
      <a:endParaRPr lang="ja-JP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0.4945</cdr:x>
      <cdr:y>0.8718</cdr:y>
    </cdr:from>
    <cdr:to>
      <cdr:x>1</cdr:x>
      <cdr:y>1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1460897" y="1583532"/>
          <a:ext cx="1422797" cy="226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n-US" altLang="ja-JP" sz="1000">
              <a:latin typeface="MS UI Gothic" pitchFamily="50" charset="-128"/>
              <a:ea typeface="MS UI Gothic" pitchFamily="50" charset="-128"/>
            </a:rPr>
            <a:t>MEAN±S.E.(n=10)</a:t>
          </a:r>
          <a:endParaRPr lang="ja-JP" altLang="en-US" sz="1000">
            <a:latin typeface="MS UI Gothic" pitchFamily="50" charset="-128"/>
            <a:ea typeface="MS UI Gothic" pitchFamily="50" charset="-12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製品比較表</vt:lpstr>
      <vt:lpstr>製品比較表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</dc:title>
  <dc:creator>（株）テイカ製薬</dc:creator>
  <cp:lastModifiedBy>y.m</cp:lastModifiedBy>
  <cp:revision>29</cp:revision>
  <cp:lastPrinted>2014-03-06T04:55:00Z</cp:lastPrinted>
  <dcterms:created xsi:type="dcterms:W3CDTF">2014-02-10T08:03:00Z</dcterms:created>
  <dcterms:modified xsi:type="dcterms:W3CDTF">2025-04-01T00:37:00Z</dcterms:modified>
</cp:coreProperties>
</file>